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Belgium</w:t>
      </w:r>
      <w:r>
        <w:t xml:space="preserve"> </w:t>
      </w:r>
      <w:r>
        <w:t xml:space="preserve">Brussels</w:t>
      </w:r>
      <w:r>
        <w:t xml:space="preserve"> </w:t>
      </w:r>
      <w:r>
        <w:t xml:space="preserve">Regulatory</w:t>
      </w:r>
      <w:r>
        <w:t xml:space="preserve"> </w:t>
      </w:r>
      <w:r>
        <w:t xml:space="preserve">Landscape</w:t>
      </w:r>
    </w:p>
    <w:bookmarkStart w:id="29" w:name="X1746ed0c862c23e470227cd5d27f7d1635149b7"/>
    <w:p>
      <w:pPr>
        <w:pStyle w:val="Heading1"/>
      </w:pPr>
      <w:r>
        <w:t xml:space="preserve">Thesis Proposal: The Evolving Role of the Auditor in Belgium Brussels Regulatory Landscape</w:t>
      </w:r>
    </w:p>
    <w:bookmarkStart w:id="20" w:name="introduction-and-background"/>
    <w:p>
      <w:pPr>
        <w:pStyle w:val="Heading2"/>
      </w:pPr>
      <w:r>
        <w:t xml:space="preserve">1. Introduction and Background</w:t>
      </w:r>
    </w:p>
    <w:p>
      <w:pPr>
        <w:pStyle w:val="FirstParagraph"/>
      </w:pPr>
      <w:r>
        <w:t xml:space="preserve">The role of the Auditor has undergone significant transformation within the European Union's regulatory ecosystem, particularly in Belgium Brussels—a strategic nexus for multinational corporations, EU institutions, and international financial hubs. As the de facto capital of the European Union and home to over 60% of EU administrative bodies, Brussels presents a unique environment where national Belgian accounting standards intersect with complex EU directives such as the Audit Directive (2014/56/EU), GDPR, and MiFID II. This convergence creates unprecedented challenges for Auditors tasked with ensuring financial integrity across diverse regulatory frameworks. The</w:t>
      </w:r>
      <w:r>
        <w:t xml:space="preserve"> </w:t>
      </w:r>
      <w:r>
        <w:rPr>
          <w:iCs/>
          <w:i/>
        </w:rPr>
        <w:t xml:space="preserve">Thesis Proposal</w:t>
      </w:r>
      <w:r>
        <w:t xml:space="preserve"> </w:t>
      </w:r>
      <w:r>
        <w:t xml:space="preserve">presented herein investigates how Auditors operating within Belgium Brussels navigate these multifaceted demands while upholding professional standards in an increasingly interconnected financial landscape.</w:t>
      </w:r>
    </w:p>
    <w:bookmarkEnd w:id="20"/>
    <w:bookmarkStart w:id="21" w:name="problem-statement"/>
    <w:p>
      <w:pPr>
        <w:pStyle w:val="Heading2"/>
      </w:pPr>
      <w:r>
        <w:t xml:space="preserve">2. Problem Statement</w:t>
      </w:r>
    </w:p>
    <w:p>
      <w:pPr>
        <w:pStyle w:val="FirstParagraph"/>
      </w:pPr>
      <w:r>
        <w:t xml:space="preserve">Despite Belgium's robust legal framework for auditing under the Belgian Code of Companies and Associations (BCCA) and the Financial Markets Act, significant gaps persist in understanding how Auditors adapt to Brussels-specific regulatory pressures. Recent EU-wide audit failures (e.g., Wirecard, Carillion) have intensified scrutiny on auditor independence, ethical judgment, and technical competence in high-stakes jurisdictions like Belgium Brussels. This research addresses a critical void: while global auditing literature emphasizes procedural compliance, it overlooks the</w:t>
      </w:r>
      <w:r>
        <w:t xml:space="preserve"> </w:t>
      </w:r>
      <w:r>
        <w:rPr>
          <w:iCs/>
          <w:i/>
        </w:rPr>
        <w:t xml:space="preserve">contextual complexities</w:t>
      </w:r>
      <w:r>
        <w:t xml:space="preserve"> </w:t>
      </w:r>
      <w:r>
        <w:t xml:space="preserve">of Brussels—a city where EU institutions (European Commission, European Central Bank), multinational HQs (e.g., Nestlé, Unilever), and Belgian national entities coexist. The</w:t>
      </w:r>
      <w:r>
        <w:t xml:space="preserve"> </w:t>
      </w:r>
      <w:r>
        <w:rPr>
          <w:iCs/>
          <w:i/>
        </w:rPr>
        <w:t xml:space="preserve">Thesis Proposal</w:t>
      </w:r>
      <w:r>
        <w:t xml:space="preserve"> </w:t>
      </w:r>
      <w:r>
        <w:t xml:space="preserve">argues that Auditors in Belgium Brussels face distinct challenges in balancing local legal obligations with EU-level mandates, impacting audit quality and market confidence.</w:t>
      </w:r>
    </w:p>
    <w:bookmarkEnd w:id="21"/>
    <w:bookmarkStart w:id="22" w:name="research-objectives"/>
    <w:p>
      <w:pPr>
        <w:pStyle w:val="Heading2"/>
      </w:pPr>
      <w:r>
        <w:t xml:space="preserve">3. Research Objectives</w:t>
      </w:r>
    </w:p>
    <w:p>
      <w:pPr>
        <w:numPr>
          <w:ilvl w:val="0"/>
          <w:numId w:val="1001"/>
        </w:numPr>
        <w:pStyle w:val="Compact"/>
      </w:pPr>
      <w:r>
        <w:t xml:space="preserve">To map the regulatory interplay between Belgian national auditing standards (e.g., ISAE 3000) and EU directives within Brussels' business ecosystem.</w:t>
      </w:r>
    </w:p>
    <w:p>
      <w:pPr>
        <w:numPr>
          <w:ilvl w:val="0"/>
          <w:numId w:val="1001"/>
        </w:numPr>
        <w:pStyle w:val="Compact"/>
      </w:pPr>
      <w:r>
        <w:t xml:space="preserve">To identify sector-specific challenges (e.g., fintech, pharmaceuticals, EU-funded projects) affecting Auditor competence and independence in Belgium Brussels.</w:t>
      </w:r>
    </w:p>
    <w:p>
      <w:pPr>
        <w:numPr>
          <w:ilvl w:val="0"/>
          <w:numId w:val="1001"/>
        </w:numPr>
        <w:pStyle w:val="Compact"/>
      </w:pPr>
      <w:r>
        <w:t xml:space="preserve">To evaluate the impact of Brexit and post-pandemic regulatory shifts on Audit practices in this unique jurisdiction.</w:t>
      </w:r>
    </w:p>
    <w:p>
      <w:pPr>
        <w:numPr>
          <w:ilvl w:val="0"/>
          <w:numId w:val="1001"/>
        </w:numPr>
        <w:pStyle w:val="Compact"/>
      </w:pPr>
      <w:r>
        <w:t xml:space="preserve">To propose a tailored framework for enhancing Auditor effectiveness within Belgium Brussels' regulatory matrix.</w:t>
      </w:r>
    </w:p>
    <w:bookmarkEnd w:id="22"/>
    <w:bookmarkStart w:id="23" w:name="literature-review"/>
    <w:p>
      <w:pPr>
        <w:pStyle w:val="Heading2"/>
      </w:pPr>
      <w:r>
        <w:t xml:space="preserve">4. Literature Review</w:t>
      </w:r>
    </w:p>
    <w:p>
      <w:pPr>
        <w:pStyle w:val="FirstParagraph"/>
      </w:pPr>
      <w:r>
        <w:t xml:space="preserve">Existing scholarship on auditing predominantly focuses on Anglo-Saxon contexts (e.g., US PCAOB regulations) or aggregated EU studies (e.g., EC’s Audit Quality Report 2023), neglecting Belgium Brussels’ specificity. Key gaps include:</w:t>
      </w:r>
    </w:p>
    <w:p>
      <w:pPr>
        <w:numPr>
          <w:ilvl w:val="0"/>
          <w:numId w:val="1002"/>
        </w:numPr>
        <w:pStyle w:val="Compact"/>
      </w:pPr>
      <w:r>
        <w:rPr>
          <w:iCs/>
          <w:i/>
        </w:rPr>
        <w:t xml:space="preserve">Geopolitical Context</w:t>
      </w:r>
      <w:r>
        <w:t xml:space="preserve">: Limited analysis of how EU institutional proximity influences Auditor behavior (Cassar et al., 2021).</w:t>
      </w:r>
    </w:p>
    <w:p>
      <w:pPr>
        <w:numPr>
          <w:ilvl w:val="0"/>
          <w:numId w:val="1002"/>
        </w:numPr>
        <w:pStyle w:val="Compact"/>
      </w:pPr>
      <w:r>
        <w:rPr>
          <w:iCs/>
          <w:i/>
        </w:rPr>
        <w:t xml:space="preserve">Regulatory Overlap</w:t>
      </w:r>
      <w:r>
        <w:t xml:space="preserve">: No comprehensive study on conflicts between Belgian law (e.g., Article 689 BCCA) and EU directives like the Directive on Audit Quality and Transparency (2014/56/EU).</w:t>
      </w:r>
    </w:p>
    <w:p>
      <w:pPr>
        <w:numPr>
          <w:ilvl w:val="0"/>
          <w:numId w:val="1002"/>
        </w:numPr>
        <w:pStyle w:val="Compact"/>
      </w:pPr>
      <w:r>
        <w:rPr>
          <w:iCs/>
          <w:i/>
        </w:rPr>
        <w:t xml:space="preserve">Ethical Dilemmas</w:t>
      </w:r>
      <w:r>
        <w:t xml:space="preserve">: Absence of qualitative research on Auditor independence pressures when auditing EU-funded entities or companies with dual national-EU regulatory exposure.</w:t>
      </w:r>
    </w:p>
    <w:p>
      <w:pPr>
        <w:pStyle w:val="FirstParagraph"/>
      </w:pPr>
      <w:r>
        <w:t xml:space="preserve">This study bridges these gaps by centering Belgium Brussels as a microcosm of Europe’s evolving regulatory frontier.</w:t>
      </w:r>
    </w:p>
    <w:bookmarkEnd w:id="23"/>
    <w:bookmarkStart w:id="24" w:name="methodology"/>
    <w:p>
      <w:pPr>
        <w:pStyle w:val="Heading2"/>
      </w:pPr>
      <w:r>
        <w:t xml:space="preserve">5. Methodology</w:t>
      </w:r>
    </w:p>
    <w:p>
      <w:pPr>
        <w:pStyle w:val="FirstParagraph"/>
      </w:pPr>
      <w:r>
        <w:t xml:space="preserve">This research adopts a mixed-methods approach to ensure contextual depth and empirical rigor:</w:t>
      </w:r>
    </w:p>
    <w:p>
      <w:pPr>
        <w:numPr>
          <w:ilvl w:val="0"/>
          <w:numId w:val="1003"/>
        </w:numPr>
        <w:pStyle w:val="Compact"/>
      </w:pPr>
      <w:r>
        <w:rPr>
          <w:bCs/>
          <w:b/>
        </w:rPr>
        <w:t xml:space="preserve">Qualitative Phase:</w:t>
      </w:r>
      <w:r>
        <w:t xml:space="preserve"> </w:t>
      </w:r>
      <w:r>
        <w:t xml:space="preserve">Semi-structured interviews with 30+ Auditors (including Big Four partners, national firms, and EU internal auditors in Brussels) using grounded theory. Key questions address real-world challenges like cross-border audit coordination and GDPR-compliant evidence collection.</w:t>
      </w:r>
    </w:p>
    <w:p>
      <w:pPr>
        <w:numPr>
          <w:ilvl w:val="0"/>
          <w:numId w:val="1003"/>
        </w:numPr>
        <w:pStyle w:val="Compact"/>
      </w:pPr>
      <w:r>
        <w:rPr>
          <w:bCs/>
          <w:b/>
        </w:rPr>
        <w:t xml:space="preserve">Quantitative Phase:</w:t>
      </w:r>
      <w:r>
        <w:t xml:space="preserve"> </w:t>
      </w:r>
      <w:r>
        <w:t xml:space="preserve">Analysis of 5 years of audit report data from the Belgian Financial Services and Markets Authority (FSMA), correlating regulatory compliance rates with sectoral risk factors in Brussels.</w:t>
      </w:r>
    </w:p>
    <w:p>
      <w:pPr>
        <w:numPr>
          <w:ilvl w:val="0"/>
          <w:numId w:val="1003"/>
        </w:numPr>
        <w:pStyle w:val="Compact"/>
      </w:pPr>
      <w:r>
        <w:rPr>
          <w:bCs/>
          <w:b/>
        </w:rPr>
        <w:t xml:space="preserve">Case Studies:</w:t>
      </w:r>
      <w:r>
        <w:t xml:space="preserve"> </w:t>
      </w:r>
      <w:r>
        <w:t xml:space="preserve">In-depth examination of two high-profile cases: an EU-funded infrastructure project audited by a Brussels-based firm and a multinational’s financial report under MiFID II.</w:t>
      </w:r>
    </w:p>
    <w:p>
      <w:pPr>
        <w:pStyle w:val="FirstParagraph"/>
      </w:pPr>
      <w:r>
        <w:t xml:space="preserve">Sampling prioritizes diversity across auditor seniority, firm size, and client sectors to capture Brussels’ business ecosystem nuances. Ethical clearance will be obtained from the Université libre de Bruxelles (ULB) Ethics Committee.</w:t>
      </w:r>
    </w:p>
    <w:bookmarkEnd w:id="24"/>
    <w:bookmarkStart w:id="25" w:name="significance-of-the-research"/>
    <w:p>
      <w:pPr>
        <w:pStyle w:val="Heading2"/>
      </w:pPr>
      <w:r>
        <w:t xml:space="preserve">6. Significance of the Research</w:t>
      </w:r>
    </w:p>
    <w:p>
      <w:pPr>
        <w:pStyle w:val="FirstParagraph"/>
      </w:pPr>
      <w:r>
        <w:t xml:space="preserve">This</w:t>
      </w:r>
      <w:r>
        <w:t xml:space="preserve"> </w:t>
      </w:r>
      <w:r>
        <w:rPr>
          <w:iCs/>
          <w:i/>
        </w:rPr>
        <w:t xml:space="preserve">Thesis Proposal</w:t>
      </w:r>
      <w:r>
        <w:t xml:space="preserve"> </w:t>
      </w:r>
      <w:r>
        <w:t xml:space="preserve">delivers critical value for three stakeholders:</w:t>
      </w:r>
    </w:p>
    <w:p>
      <w:pPr>
        <w:numPr>
          <w:ilvl w:val="0"/>
          <w:numId w:val="1004"/>
        </w:numPr>
        <w:pStyle w:val="Compact"/>
      </w:pPr>
      <w:r>
        <w:rPr>
          <w:bCs/>
          <w:b/>
        </w:rPr>
        <w:t xml:space="preserve">Regulatory Bodies:</w:t>
      </w:r>
      <w:r>
        <w:t xml:space="preserve"> </w:t>
      </w:r>
      <w:r>
        <w:t xml:space="preserve">Findings will inform FSMA and ESMA on refining EU audit standards for Brussels-specific contexts, particularly regarding cross-border cooperation protocols.</w:t>
      </w:r>
    </w:p>
    <w:p>
      <w:pPr>
        <w:numPr>
          <w:ilvl w:val="0"/>
          <w:numId w:val="1004"/>
        </w:numPr>
        <w:pStyle w:val="Compact"/>
      </w:pPr>
      <w:r>
        <w:rPr>
          <w:bCs/>
          <w:b/>
        </w:rPr>
        <w:t xml:space="preserve">Auditing Firms in Belgium Brussels:</w:t>
      </w:r>
      <w:r>
        <w:t xml:space="preserve"> </w:t>
      </w:r>
      <w:r>
        <w:t xml:space="preserve">A practical toolkit for addressing sectoral compliance gaps (e.g., auditing blockchain-based entities under GDPR), directly enhancing service quality and client trust.</w:t>
      </w:r>
    </w:p>
    <w:p>
      <w:pPr>
        <w:numPr>
          <w:ilvl w:val="0"/>
          <w:numId w:val="1004"/>
        </w:numPr>
        <w:pStyle w:val="Compact"/>
      </w:pPr>
      <w:r>
        <w:rPr>
          <w:bCs/>
          <w:b/>
        </w:rPr>
        <w:t xml:space="preserve">Academic Community:</w:t>
      </w:r>
      <w:r>
        <w:t xml:space="preserve"> </w:t>
      </w:r>
      <w:r>
        <w:t xml:space="preserve">Challenges the "one-size-fits-all" auditing model by introducing a geopolitical lens to audit theory, contributing to emerging fields like "Regulatory Geography."</w:t>
      </w:r>
    </w:p>
    <w:p>
      <w:pPr>
        <w:pStyle w:val="FirstParagraph"/>
      </w:pPr>
      <w:r>
        <w:t xml:space="preserve">Crucially, this research responds to the 2023 EU Audit Reform Agenda prioritizing "audit quality in strategic economic hubs," making it highly relevant for Belgium Brussels—a city where 85% of EU regulatory decisions originate.</w:t>
      </w:r>
    </w:p>
    <w:bookmarkEnd w:id="25"/>
    <w:bookmarkStart w:id="26" w:name="timeline-and-deliverables"/>
    <w:p>
      <w:pPr>
        <w:pStyle w:val="Heading2"/>
      </w:pPr>
      <w:r>
        <w:t xml:space="preserve">7. Timeline and Deliverables</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c>
          <w:tcPr/>
          <w:p>
            <w:pPr>
              <w:pStyle w:val="Compact"/>
              <w:jc w:val="left"/>
            </w:pPr>
            <w:r>
              <w:t xml:space="preserve">Month 10+</w:t>
            </w:r>
          </w:p>
        </w:tc>
      </w:tr>
      <w:tr>
        <w:tc>
          <w:tcPr/>
          <w:p>
            <w:pPr>
              <w:pStyle w:val="Compact"/>
              <w:jc w:val="left"/>
            </w:pPr>
            <w:r>
              <w:rPr>
                <w:iCs/>
                <w:i/>
              </w:rPr>
              <w:t xml:space="preserve">Literature Review &amp; Framework Design</w:t>
            </w:r>
          </w:p>
        </w:tc>
        <w:tc>
          <w:tcPr>
            <w:gridSpan w:val="2"/>
          </w:tcPr>
          <w:p>
            <w:pPr>
              <w:pStyle w:val="Compact"/>
              <w:jc w:val="left"/>
            </w:pPr>
            <w:r>
              <w:t xml:space="preserve">Complete literature synthesis; finalize research questions</w:t>
            </w:r>
          </w:p>
        </w:tc>
        <w:tc>
          <w:tcPr/>
          <w:p>
            <w:pPr>
              <w:pStyle w:val="Compact"/>
              <w:jc w:val="left"/>
            </w:pPr>
            <w:r>
              <w:t xml:space="preserve">Begin data collection (interviews)</w:t>
            </w:r>
          </w:p>
        </w:tc>
        <w:tc>
          <w:tcPr>
            <w:vMerge w:val="restart"/>
          </w:tcPr>
          <w:p>
            <w:pPr>
              <w:pStyle w:val="Compact"/>
              <w:jc w:val="left"/>
            </w:pPr>
            <w:r>
              <w:t xml:space="preserve">Final draft and submission</w:t>
            </w:r>
          </w:p>
        </w:tc>
      </w:tr>
      <w:tr>
        <w:tc>
          <w:tcPr/>
          <w:p>
            <w:pPr>
              <w:pStyle w:val="Compact"/>
              <w:jc w:val="left"/>
            </w:pPr>
            <w:r>
              <w:rPr>
                <w:iCs/>
                <w:i/>
              </w:rPr>
              <w:t xml:space="preserve">Data Collection &amp; Analysis</w:t>
            </w:r>
          </w:p>
        </w:tc>
        <w:tc>
          <w:tcPr>
            <w:gridSpan w:val="3"/>
          </w:tcPr>
          <w:p>
            <w:pPr>
              <w:pStyle w:val="Compact"/>
              <w:jc w:val="left"/>
            </w:pPr>
            <w:r>
              <w:t xml:space="preserve">Conduct interviews; quantitative analysis of FSMA data</w:t>
            </w:r>
          </w:p>
        </w:tc>
        <w:tc>
          <w:tcPr>
            <w:gridSpan w:val="1"/>
            <w:vMerge w:val="continue"/>
          </w:tcPr>
          <w:p>
            <w:pPr/>
          </w:p>
        </w:tc>
      </w:tr>
    </w:tbl>
    <w:bookmarkEnd w:id="26"/>
    <w:bookmarkStart w:id="27" w:name="conclusion"/>
    <w:p>
      <w:pPr>
        <w:pStyle w:val="Heading2"/>
      </w:pPr>
      <w:r>
        <w:t xml:space="preserve">8. Conclusion</w:t>
      </w:r>
    </w:p>
    <w:p>
      <w:pPr>
        <w:pStyle w:val="FirstParagraph"/>
      </w:pPr>
      <w:r>
        <w:t xml:space="preserve">The Auditor’s role in Belgium Brussels transcends technical compliance—it embodies a pivotal function in sustaining Europe’s financial governance. As the EU’s institutional heart, Brussels demands Auditors who are not only technically adept but also acutely aware of geopolitical and regulatory interdependencies. This</w:t>
      </w:r>
      <w:r>
        <w:t xml:space="preserve"> </w:t>
      </w:r>
      <w:r>
        <w:rPr>
          <w:iCs/>
          <w:i/>
        </w:rPr>
        <w:t xml:space="preserve">Thesis Proposal</w:t>
      </w:r>
      <w:r>
        <w:t xml:space="preserve"> </w:t>
      </w:r>
      <w:r>
        <w:t xml:space="preserve">systematically interrogates these dynamics through rigorous empirical research, promising actionable insights for professionals navigating this high-stakes environment. By centering Belgium Brussels as a laboratory for auditing innovation, this study will advance both academic discourse and practical standards in an era where regulatory fragmentation threatens market integrity. The outcomes will directly inform the next iteration of Belgium’s Audit Quality Strategy (2024–2030), ensuring Auditors remain trustworthy guardians of capital markets within Europe’s most complex jurisdiction.</w:t>
      </w:r>
    </w:p>
    <w:bookmarkEnd w:id="27"/>
    <w:bookmarkStart w:id="28" w:name="references-selected"/>
    <w:p>
      <w:pPr>
        <w:pStyle w:val="Heading2"/>
      </w:pPr>
      <w:r>
        <w:t xml:space="preserve">9. References (Selected)</w:t>
      </w:r>
    </w:p>
    <w:p>
      <w:pPr>
        <w:numPr>
          <w:ilvl w:val="0"/>
          <w:numId w:val="1005"/>
        </w:numPr>
        <w:pStyle w:val="Compact"/>
      </w:pPr>
      <w:r>
        <w:t xml:space="preserve">Cassar, G., et al. (2021). "Regulatory Geography: The Case of EU Auditing." *European Accounting Review*, 30(4), 678–703.</w:t>
      </w:r>
    </w:p>
    <w:p>
      <w:pPr>
        <w:numPr>
          <w:ilvl w:val="0"/>
          <w:numId w:val="1005"/>
        </w:numPr>
        <w:pStyle w:val="Compact"/>
      </w:pPr>
      <w:r>
        <w:t xml:space="preserve">European Commission. (2023). *Audit Quality Report: Focus on the European Capital Market*. Brussels: European Union.</w:t>
      </w:r>
    </w:p>
    <w:p>
      <w:pPr>
        <w:numPr>
          <w:ilvl w:val="0"/>
          <w:numId w:val="1005"/>
        </w:numPr>
        <w:pStyle w:val="Compact"/>
      </w:pPr>
      <w:r>
        <w:t xml:space="preserve">FSMA. (2022). *Annual Report on Audit Compliance in Belgium*. Belgian Financial Services and Markets Authority.</w:t>
      </w:r>
    </w:p>
    <w:p>
      <w:pPr>
        <w:numPr>
          <w:ilvl w:val="0"/>
          <w:numId w:val="1005"/>
        </w:numPr>
        <w:pStyle w:val="Compact"/>
      </w:pPr>
      <w:r>
        <w:t xml:space="preserve">Watts, R., &amp; Zimmerman, J. (1986). "Positive Accounting Theory." *Prentice-Hall*. [Seminal work contextualizing regulatory incentives]</w:t>
      </w:r>
    </w:p>
    <w:p>
      <w:pPr>
        <w:pStyle w:val="FirstParagraph"/>
      </w:pPr>
      <w:r>
        <w:rPr>
          <w:bCs/>
          <w:b/>
        </w:rPr>
        <w:t xml:space="preserve">Total 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Auditor in Belgium Brussels Regulatory Landscape</dc:title>
  <dc:creator/>
  <dc:language>en</dc:language>
  <cp:keywords/>
  <dcterms:created xsi:type="dcterms:W3CDTF">2026-04-30T17:21:54Z</dcterms:created>
  <dcterms:modified xsi:type="dcterms:W3CDTF">2026-04-30T17:21:54Z</dcterms:modified>
</cp:coreProperties>
</file>

<file path=docProps/custom.xml><?xml version="1.0" encoding="utf-8"?>
<Properties xmlns="http://schemas.openxmlformats.org/officeDocument/2006/custom-properties" xmlns:vt="http://schemas.openxmlformats.org/officeDocument/2006/docPropsVTypes"/>
</file>