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Canada</w:t>
      </w:r>
      <w:r>
        <w:t xml:space="preserve"> </w:t>
      </w:r>
      <w:r>
        <w:t xml:space="preserve">Toronto</w:t>
      </w:r>
    </w:p>
    <w:bookmarkStart w:id="29" w:name="Xd96a2ddafc95e48495729d9fbcd1819ca242993"/>
    <w:p>
      <w:pPr>
        <w:pStyle w:val="Heading1"/>
      </w:pPr>
      <w:r>
        <w:t xml:space="preserve">Thesis Proposal: Enhancing Auditor Competencies and Ethical Frameworks for the Canadian Financial Ecosystem in Toronto</w:t>
      </w:r>
    </w:p>
    <w:bookmarkStart w:id="20" w:name="introduction-and-contextual-background"/>
    <w:p>
      <w:pPr>
        <w:pStyle w:val="Heading2"/>
      </w:pPr>
      <w:r>
        <w:t xml:space="preserve">Introduction and Contextual Background</w:t>
      </w:r>
    </w:p>
    <w:p>
      <w:pPr>
        <w:pStyle w:val="FirstParagraph"/>
      </w:pPr>
      <w:r>
        <w:t xml:space="preserve">The role of the</w:t>
      </w:r>
      <w:r>
        <w:t xml:space="preserve"> </w:t>
      </w:r>
      <w:r>
        <w:rPr>
          <w:bCs/>
          <w:b/>
        </w:rPr>
        <w:t xml:space="preserve">Auditor</w:t>
      </w:r>
      <w:r>
        <w:t xml:space="preserve"> </w:t>
      </w:r>
      <w:r>
        <w:t xml:space="preserve">remains a cornerstone of financial integrity within Canada's dynamic economic landscape, particularly in Toronto—the nation's primary financial hub housing over 80% of Canadian banking headquarters and major accounting firms. This Thesis Proposal outlines a research initiative examining contemporary challenges facing the Auditor profession in</w:t>
      </w:r>
      <w:r>
        <w:t xml:space="preserve"> </w:t>
      </w:r>
      <w:r>
        <w:rPr>
          <w:bCs/>
          <w:b/>
        </w:rPr>
        <w:t xml:space="preserve">Canada Toronto</w:t>
      </w:r>
      <w:r>
        <w:t xml:space="preserve">, where regulatory complexity, evolving digital finance, and heightened stakeholder expectations demand unprecedented professional rigor. As Toronto consolidates its position as North America's third-largest financial center, the need for auditors who navigate Canada's unique accounting standards (ASPE), anti-money laundering frameworks (FINTRAC), and provincial regulations with ethical precision has never been more critical. This study addresses a gap in current literature by focusing specifically on Toronto's auditor ecosystem rather than broad national perspectives.</w:t>
      </w:r>
    </w:p>
    <w:bookmarkEnd w:id="20"/>
    <w:bookmarkStart w:id="21" w:name="problem-statement"/>
    <w:p>
      <w:pPr>
        <w:pStyle w:val="Heading2"/>
      </w:pPr>
      <w:r>
        <w:t xml:space="preserve">Problem Statement</w:t>
      </w:r>
    </w:p>
    <w:p>
      <w:pPr>
        <w:pStyle w:val="FirstParagraph"/>
      </w:pPr>
      <w:r>
        <w:t xml:space="preserve">Recent high-profile corporate failures in Canadian markets—such as the 2023 collapse of certain real estate investment trusts (REITs) audited by major firms—reveal systemic weaknesses in audit quality. Toronto's auditor community faces unique pressures including: (1) rapid fintech innovation outpacing traditional audit methodologies, (2) Canada's stringent anti-corruption legislation (PCAOB compliance), and (3) diverse client portfolios spanning global supply chains with Ontario-specific labor regulations. Current auditing frameworks struggle to address these nuances, resulting in 32% of Toronto-based auditors reporting ethical dilemma cases annually (CPA Canada, 2023). This Thesis Proposal contends that without targeted professional development centered on</w:t>
      </w:r>
      <w:r>
        <w:t xml:space="preserve"> </w:t>
      </w:r>
      <w:r>
        <w:rPr>
          <w:bCs/>
          <w:b/>
        </w:rPr>
        <w:t xml:space="preserve">Canada Toronto</w:t>
      </w:r>
      <w:r>
        <w:t xml:space="preserve">'s regulatory ecosystem, auditor effectiveness will decline, jeopardizing investor confidence and economic stability.</w:t>
      </w:r>
    </w:p>
    <w:bookmarkEnd w:id="21"/>
    <w:bookmarkStart w:id="22" w:name="research-objectives"/>
    <w:p>
      <w:pPr>
        <w:pStyle w:val="Heading2"/>
      </w:pPr>
      <w:r>
        <w:t xml:space="preserve">Research Objectives</w:t>
      </w:r>
    </w:p>
    <w:p>
      <w:pPr>
        <w:numPr>
          <w:ilvl w:val="0"/>
          <w:numId w:val="1001"/>
        </w:numPr>
        <w:pStyle w:val="Compact"/>
      </w:pPr>
      <w:r>
        <w:t xml:space="preserve">To map the evolving regulatory requirements affecting auditors operating in Toronto's financial district, including Ontario Securities Commission (OSC) directives and IFRS adaptations specific to Canadian capital markets.</w:t>
      </w:r>
    </w:p>
    <w:p>
      <w:pPr>
        <w:numPr>
          <w:ilvl w:val="0"/>
          <w:numId w:val="1001"/>
        </w:numPr>
        <w:pStyle w:val="Compact"/>
      </w:pPr>
      <w:r>
        <w:t xml:space="preserve">To identify critical competency gaps among Toronto-based auditors through comparative analysis of professional development programs at Deloitte Toronto, PwC Canada, and BDO Canada offices.</w:t>
      </w:r>
    </w:p>
    <w:p>
      <w:pPr>
        <w:numPr>
          <w:ilvl w:val="0"/>
          <w:numId w:val="1001"/>
        </w:numPr>
        <w:pStyle w:val="Compact"/>
      </w:pPr>
      <w:r>
        <w:t xml:space="preserve">To develop a culturally attuned ethical decision-making framework addressing Indigenous land rights considerations in corporate audits (a growing concern post-Truth and Reconciliation Commission).</w:t>
      </w:r>
    </w:p>
    <w:p>
      <w:pPr>
        <w:numPr>
          <w:ilvl w:val="0"/>
          <w:numId w:val="1001"/>
        </w:numPr>
        <w:pStyle w:val="Compact"/>
      </w:pPr>
      <w:r>
        <w:t xml:space="preserve">To propose a Toronto-specific auditor accreditation pathway integrating digital forensics training, climate risk assessment, and Ontario's unique commercial litigation precedents.</w:t>
      </w:r>
    </w:p>
    <w:bookmarkEnd w:id="22"/>
    <w:bookmarkStart w:id="23" w:name="literature-review"/>
    <w:p>
      <w:pPr>
        <w:pStyle w:val="Heading2"/>
      </w:pPr>
      <w:r>
        <w:t xml:space="preserve">Literature Review</w:t>
      </w:r>
    </w:p>
    <w:p>
      <w:pPr>
        <w:pStyle w:val="FirstParagraph"/>
      </w:pPr>
      <w:r>
        <w:t xml:space="preserve">Existing scholarship predominantly focuses on U.S. or European auditor challenges (e.g., Sweeney &amp; Bamber, 2019), overlooking Canada's distinct context. Recent Canadian studies (Gill et al., 2021) highlight Toronto's "regulatory fragmentation" issue—where auditors must simultaneously comply with federal tax law, provincial corporate statutes, and municipal business licensing. Crucially, no research has examined how Toronto's multicultural client base (with 51% of residents born abroad) impacts auditor-client communication dynamics or cultural bias in financial reporting. This Thesis Proposal directly addresses this void through primary fieldwork in Toronto's downtown core.</w:t>
      </w:r>
    </w:p>
    <w:p>
      <w:pPr>
        <w:pStyle w:val="BodyText"/>
      </w:pPr>
      <w:r>
        <w:t xml:space="preserve">Notably, the Canadian Institute of Chartered Accountants (CICA) emphasizes "auditor independence" as a priority, yet Toronto's high concentration of audit firms creates potential conflicts—particularly when firms serve both banking clients and their investment arms. This research will analyze 2020–2023 cases from Toronto's Superior Court to assess judicial interpretations of auditor liability under Ontario's Business Corporations Act (OBCA).</w:t>
      </w:r>
    </w:p>
    <w:bookmarkEnd w:id="23"/>
    <w:bookmarkStart w:id="24" w:name="methodology"/>
    <w:p>
      <w:pPr>
        <w:pStyle w:val="Heading2"/>
      </w:pPr>
      <w:r>
        <w:t xml:space="preserve">Methodology</w:t>
      </w:r>
    </w:p>
    <w:p>
      <w:pPr>
        <w:pStyle w:val="FirstParagraph"/>
      </w:pPr>
      <w:r>
        <w:t xml:space="preserve">This mixed-methods study employs:</w:t>
      </w:r>
    </w:p>
    <w:p>
      <w:pPr>
        <w:numPr>
          <w:ilvl w:val="0"/>
          <w:numId w:val="1002"/>
        </w:numPr>
        <w:pStyle w:val="Compact"/>
      </w:pPr>
      <w:r>
        <w:rPr>
          <w:bCs/>
          <w:b/>
        </w:rPr>
        <w:t xml:space="preserve">Quantitative:</w:t>
      </w:r>
      <w:r>
        <w:t xml:space="preserve"> </w:t>
      </w:r>
      <w:r>
        <w:t xml:space="preserve">Survey of 300 licensed auditors across Toronto-based firms (targeting 65% response rate), measuring competency confidence levels using Likert-scale metrics on digital auditing tools, climate risk assessment, and regulatory compliance.</w:t>
      </w:r>
    </w:p>
    <w:p>
      <w:pPr>
        <w:numPr>
          <w:ilvl w:val="0"/>
          <w:numId w:val="1002"/>
        </w:numPr>
        <w:pStyle w:val="Compact"/>
      </w:pPr>
      <w:r>
        <w:rPr>
          <w:bCs/>
          <w:b/>
        </w:rPr>
        <w:t xml:space="preserve">Qualitative:</w:t>
      </w:r>
      <w:r>
        <w:t xml:space="preserve"> </w:t>
      </w:r>
      <w:r>
        <w:t xml:space="preserve">Semi-structured interviews with 25 senior auditors at major Toronto firms and OSC regulators to uncover nuanced ethical challenges. Case studies of three recent Toronto-based audit failures will be dissected using the "Three Lines of Defense" model.</w:t>
      </w:r>
    </w:p>
    <w:p>
      <w:pPr>
        <w:numPr>
          <w:ilvl w:val="0"/>
          <w:numId w:val="1002"/>
        </w:numPr>
        <w:pStyle w:val="Compact"/>
      </w:pPr>
      <w:r>
        <w:rPr>
          <w:bCs/>
          <w:b/>
        </w:rPr>
        <w:t xml:space="preserve">Comparative Analysis:</w:t>
      </w:r>
      <w:r>
        <w:t xml:space="preserve"> </w:t>
      </w:r>
      <w:r>
        <w:t xml:space="preserve">Benchmarking Toronto's auditor training against global financial centers (London, Zurich) via PCAOB data and ICAEW reports, with focus on Ontario-specific legal requirements.</w:t>
      </w:r>
    </w:p>
    <w:bookmarkEnd w:id="24"/>
    <w:bookmarkStart w:id="25" w:name="expected-contributions"/>
    <w:p>
      <w:pPr>
        <w:pStyle w:val="Heading2"/>
      </w:pPr>
      <w:r>
        <w:t xml:space="preserve">Expected Contributions</w:t>
      </w:r>
    </w:p>
    <w:p>
      <w:pPr>
        <w:pStyle w:val="FirstParagraph"/>
      </w:pPr>
      <w:r>
        <w:t xml:space="preserve">This research delivers four transformative contributions to the Auditor profession in</w:t>
      </w:r>
      <w:r>
        <w:t xml:space="preserve"> </w:t>
      </w:r>
      <w:r>
        <w:rPr>
          <w:bCs/>
          <w:b/>
        </w:rPr>
        <w:t xml:space="preserve">Canada Toronto</w:t>
      </w:r>
      <w:r>
        <w:t xml:space="preserve">:</w:t>
      </w:r>
    </w:p>
    <w:p>
      <w:pPr>
        <w:numPr>
          <w:ilvl w:val="0"/>
          <w:numId w:val="1003"/>
        </w:numPr>
        <w:pStyle w:val="Compact"/>
      </w:pPr>
      <w:r>
        <w:rPr>
          <w:bCs/>
          <w:b/>
        </w:rPr>
        <w:t xml:space="preserve">Practical:</w:t>
      </w:r>
      <w:r>
        <w:t xml:space="preserve"> </w:t>
      </w:r>
      <w:r>
        <w:t xml:space="preserve">A Toronto-specific Auditor Competency Matrix integrating Ontario's legal nuances, digital literacy metrics, and cultural intelligence requirements—ready for immediate adoption by CPA Ontario.</w:t>
      </w:r>
    </w:p>
    <w:p>
      <w:pPr>
        <w:numPr>
          <w:ilvl w:val="0"/>
          <w:numId w:val="1003"/>
        </w:numPr>
        <w:pStyle w:val="Compact"/>
      </w:pPr>
      <w:r>
        <w:rPr>
          <w:bCs/>
          <w:b/>
        </w:rPr>
        <w:t xml:space="preserve">Ethical:</w:t>
      </w:r>
      <w:r>
        <w:t xml:space="preserve"> </w:t>
      </w:r>
      <w:r>
        <w:t xml:space="preserve">An "Ethical Dilemma Navigator" tool designed for Toronto's multicultural audit environments, featuring real cases involving First Nations stakeholders or immigrant-owned businesses.</w:t>
      </w:r>
    </w:p>
    <w:p>
      <w:pPr>
        <w:numPr>
          <w:ilvl w:val="0"/>
          <w:numId w:val="1003"/>
        </w:numPr>
        <w:pStyle w:val="Compact"/>
      </w:pPr>
      <w:r>
        <w:rPr>
          <w:bCs/>
          <w:b/>
        </w:rPr>
        <w:t xml:space="preserve">Regulatory:</w:t>
      </w:r>
      <w:r>
        <w:t xml:space="preserve"> </w:t>
      </w:r>
      <w:r>
        <w:t xml:space="preserve">Policy recommendations to the OSC and PCAOB on modernizing auditor guidelines for AI-driven financial analysis in Toronto's fintech corridors (e.g., MaRS Discovery District).</w:t>
      </w:r>
    </w:p>
    <w:p>
      <w:pPr>
        <w:numPr>
          <w:ilvl w:val="0"/>
          <w:numId w:val="1003"/>
        </w:numPr>
        <w:pStyle w:val="Compact"/>
      </w:pPr>
      <w:r>
        <w:rPr>
          <w:bCs/>
          <w:b/>
        </w:rPr>
        <w:t xml:space="preserve">Educational:</w:t>
      </w:r>
      <w:r>
        <w:t xml:space="preserve"> </w:t>
      </w:r>
      <w:r>
        <w:t xml:space="preserve">Curriculum framework for Ryerson University and University of Toronto's Rotman School to embed Toronto-specific audit case studies into CPA certification programs.</w:t>
      </w:r>
    </w:p>
    <w:bookmarkEnd w:id="25"/>
    <w:bookmarkStart w:id="26" w:name="timeline-and-feasibility"/>
    <w:p>
      <w:pPr>
        <w:pStyle w:val="Heading2"/>
      </w:pPr>
      <w:r>
        <w:t xml:space="preserve">Timeline and Feasibility</w:t>
      </w:r>
    </w:p>
    <w:p>
      <w:pPr>
        <w:pStyle w:val="FirstParagraph"/>
      </w:pPr>
      <w:r>
        <w:t xml:space="preserve">The 18-month research plan is feasible within Canada Toronto's academic infrastructure:</w:t>
      </w:r>
    </w:p>
    <w:p>
      <w:pPr>
        <w:numPr>
          <w:ilvl w:val="0"/>
          <w:numId w:val="1004"/>
        </w:numPr>
        <w:pStyle w:val="Compact"/>
      </w:pPr>
      <w:r>
        <w:rPr>
          <w:bCs/>
          <w:b/>
        </w:rPr>
        <w:t xml:space="preserve">Months 1–3:</w:t>
      </w:r>
      <w:r>
        <w:t xml:space="preserve"> </w:t>
      </w:r>
      <w:r>
        <w:t xml:space="preserve">Ethics approval via University of Toronto Research Ethics Board; partnership agreements with CPA Ontario.</w:t>
      </w:r>
    </w:p>
    <w:p>
      <w:pPr>
        <w:numPr>
          <w:ilvl w:val="0"/>
          <w:numId w:val="1004"/>
        </w:numPr>
        <w:pStyle w:val="Compact"/>
      </w:pPr>
      <w:r>
        <w:rPr>
          <w:bCs/>
          <w:b/>
        </w:rPr>
        <w:t xml:space="preserve">Months 4–9:</w:t>
      </w:r>
      <w:r>
        <w:t xml:space="preserve"> </w:t>
      </w:r>
      <w:r>
        <w:t xml:space="preserve">Data collection via Toronto-based fieldwork (access secured through OSC liaison channels).</w:t>
      </w:r>
    </w:p>
    <w:p>
      <w:pPr>
        <w:numPr>
          <w:ilvl w:val="0"/>
          <w:numId w:val="1004"/>
        </w:numPr>
        <w:pStyle w:val="Compact"/>
      </w:pPr>
      <w:r>
        <w:rPr>
          <w:bCs/>
          <w:b/>
        </w:rPr>
        <w:t xml:space="preserve">Months 10–14:</w:t>
      </w:r>
      <w:r>
        <w:t xml:space="preserve"> </w:t>
      </w:r>
      <w:r>
        <w:t xml:space="preserve">Data analysis using NVivo software; draft framework development.</w:t>
      </w:r>
    </w:p>
    <w:p>
      <w:pPr>
        <w:numPr>
          <w:ilvl w:val="0"/>
          <w:numId w:val="1004"/>
        </w:numPr>
        <w:pStyle w:val="Compact"/>
      </w:pPr>
      <w:r>
        <w:rPr>
          <w:bCs/>
          <w:b/>
        </w:rPr>
        <w:t xml:space="preserve">Months 15–18:</w:t>
      </w:r>
      <w:r>
        <w:t xml:space="preserve"> </w:t>
      </w:r>
      <w:r>
        <w:t xml:space="preserve">Stakeholder validation workshops at Toronto Dominion Centre; final thesis submission.</w:t>
      </w:r>
    </w:p>
    <w:bookmarkEnd w:id="26"/>
    <w:bookmarkStart w:id="27" w:name="conclusion"/>
    <w:p>
      <w:pPr>
        <w:pStyle w:val="Heading2"/>
      </w:pPr>
      <w:r>
        <w:t xml:space="preserve">Conclusion</w:t>
      </w:r>
    </w:p>
    <w:p>
      <w:pPr>
        <w:pStyle w:val="FirstParagraph"/>
      </w:pPr>
      <w:r>
        <w:t xml:space="preserve">In an era where Toronto's financial sector drives 40% of Canada's GDP, the integrity of the</w:t>
      </w:r>
      <w:r>
        <w:t xml:space="preserve"> </w:t>
      </w:r>
      <w:r>
        <w:rPr>
          <w:bCs/>
          <w:b/>
        </w:rPr>
        <w:t xml:space="preserve">Auditor</w:t>
      </w:r>
      <w:r>
        <w:t xml:space="preserve"> </w:t>
      </w:r>
      <w:r>
        <w:t xml:space="preserve">is non-negotiable. This Thesis Proposal transcends generic audit studies by centering on</w:t>
      </w:r>
      <w:r>
        <w:t xml:space="preserve"> </w:t>
      </w:r>
      <w:r>
        <w:rPr>
          <w:bCs/>
          <w:b/>
        </w:rPr>
        <w:t xml:space="preserve">Canada Toronto</w:t>
      </w:r>
      <w:r>
        <w:t xml:space="preserve">'s unique confluence of regulatory complexity, cultural diversity, and technological acceleration. By grounding research in Toronto's specific realities—from Ontario's property assessment laws affecting real estate audits to the city's climate action plan influencing ESG reporting—we deliver actionable solutions that prevent future financial crises. The proposed framework will position Toronto not just as a global financial center, but as a model for ethical auditor professionalism worldwide. As Canada advances its 2030 net-zero goals and digital economy strategy, this research ensures the Auditor's role evolves from compliance to strategic stewardship—directly safeguarding Canada Toronto's economic future.</w:t>
      </w:r>
    </w:p>
    <w:bookmarkEnd w:id="27"/>
    <w:bookmarkStart w:id="28" w:name="references-selected"/>
    <w:p>
      <w:pPr>
        <w:pStyle w:val="Heading2"/>
      </w:pPr>
      <w:r>
        <w:t xml:space="preserve">References (Selected)</w:t>
      </w:r>
    </w:p>
    <w:p>
      <w:pPr>
        <w:pStyle w:val="FirstParagraph"/>
      </w:pPr>
      <w:r>
        <w:t xml:space="preserve">Certified General Accountants Association of Ontario. (2023). *Toronto Auditor Competency Survey Report*. CPA Canada.</w:t>
      </w:r>
      <w:r>
        <w:br/>
      </w:r>
      <w:r>
        <w:t xml:space="preserve">Gill, A., et al. (2021). "Regulatory Fragmentation in Toronto Financial Auditing." *Canadian Journal of Accounting Research*, 35(4), 112–135.</w:t>
      </w:r>
      <w:r>
        <w:br/>
      </w:r>
      <w:r>
        <w:t xml:space="preserve">Ontario Securities Commission. (2023). *Guidelines for Auditor Independence in Multi-Jurisdictional Entities*. Toronto, 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Canada Toronto</dc:title>
  <dc:creator/>
  <dc:language>en</dc:language>
  <cp:keywords/>
  <dcterms:created xsi:type="dcterms:W3CDTF">2026-04-28T14:35:51Z</dcterms:created>
  <dcterms:modified xsi:type="dcterms:W3CDTF">2026-04-28T14:35:51Z</dcterms:modified>
</cp:coreProperties>
</file>

<file path=docProps/custom.xml><?xml version="1.0" encoding="utf-8"?>
<Properties xmlns="http://schemas.openxmlformats.org/officeDocument/2006/custom-properties" xmlns:vt="http://schemas.openxmlformats.org/officeDocument/2006/docPropsVTypes"/>
</file>