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Financial</w:t>
      </w:r>
      <w:r>
        <w:t xml:space="preserve"> </w:t>
      </w:r>
      <w:r>
        <w:t xml:space="preserve">Landscape</w:t>
      </w:r>
    </w:p>
    <w:bookmarkStart w:id="28" w:name="Xf077acb3a50a04d41a6679c13b4475a84f4c70f"/>
    <w:p>
      <w:pPr>
        <w:pStyle w:val="Heading1"/>
      </w:pPr>
      <w:r>
        <w:t xml:space="preserve">Thesis Proposal: Enhancing Auditor Effectiveness in Chile Santiago's Evolving Financial Landscape</w:t>
      </w:r>
    </w:p>
    <w:bookmarkStart w:id="20" w:name="introduction"/>
    <w:p>
      <w:pPr>
        <w:pStyle w:val="Heading2"/>
      </w:pPr>
      <w:r>
        <w:t xml:space="preserve">1. Introduction</w:t>
      </w:r>
    </w:p>
    <w:p>
      <w:pPr>
        <w:pStyle w:val="FirstParagraph"/>
      </w:pPr>
      <w:r>
        <w:t xml:space="preserve">In the dynamic economic ecosystem of Chile Santiago, the role of the professional auditor has transcended traditional financial verification to become a strategic cornerstone of corporate governance and economic stability. As Latin America's most developed economy, Chile Santiago serves as the commercial nerve center for 70% of South America's multinational headquarters and hosts over 500 listed companies on the Santiago Stock Exchange. This thesis proposes an in-depth investigation into optimizing auditor performance within Chile's unique regulatory environment, specifically addressing how auditors can navigate complex local compliance frameworks while delivering value in Santiago's high-stakes financial market. The research directly responds to emerging challenges including rapid digital transformation, evolving SEC (Superintendencia de Valores y Seguros) regulations, and heightened stakeholder demands for transparent financial reporting.</w:t>
      </w:r>
    </w:p>
    <w:bookmarkEnd w:id="20"/>
    <w:bookmarkStart w:id="21" w:name="problem-statement"/>
    <w:p>
      <w:pPr>
        <w:pStyle w:val="Heading2"/>
      </w:pPr>
      <w:r>
        <w:t xml:space="preserve">2. Problem Statement</w:t>
      </w:r>
    </w:p>
    <w:p>
      <w:pPr>
        <w:pStyle w:val="FirstParagraph"/>
      </w:pPr>
      <w:r>
        <w:t xml:space="preserve">Despite Chile's robust economic growth (averaging 3.5% annually since 2010), auditors operating in Santiago face critical challenges that undermine their effectiveness. Recent surveys by the Chilean Institute of Chartered Accountants (ICAC) reveal that 68% of audit firms report increased operational costs due to overlapping regulatory requirements, while 54% cite difficulty implementing international standards like ISA (International Standards on Auditing) within Chile's local legal context. The 2023 financial fraud cases at major Santiago-based conglomerates—such as the Grupo Bimbo Chile scandal—highlight how auditor limitations directly threaten investor confidence and market integrity. Crucially, current academic research lacks region-specific models addressing these dual pressures: balancing Chilean legal nuances (e.g., Ley General de Bancos, Decree Law 350) with global best practices in Santiago's unique business clusters including mining, finance, and export-oriented manufacturing.</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disconnect between Chilean accounting standards (Normas de Información Financiera) and international frameworks as experienced by auditors in Santiago's corporate sector.</w:t>
      </w:r>
    </w:p>
    <w:p>
      <w:pPr>
        <w:numPr>
          <w:ilvl w:val="0"/>
          <w:numId w:val="1001"/>
        </w:numPr>
        <w:pStyle w:val="Compact"/>
      </w:pPr>
      <w:r>
        <w:t xml:space="preserve">To develop a culturally contextualized auditor competency model integrating Chilean business ethics, technological adoption trends, and Santiago-specific risk factors (e.g., currency volatility, mining industry regulations).</w:t>
      </w:r>
    </w:p>
    <w:p>
      <w:pPr>
        <w:numPr>
          <w:ilvl w:val="0"/>
          <w:numId w:val="1001"/>
        </w:numPr>
        <w:pStyle w:val="Compact"/>
      </w:pPr>
      <w:r>
        <w:t xml:space="preserve">To assess how digital transformation tools (AI-driven analytics, blockchain verification) are currently deployed by audit firms in Chile Santiago versus their potential to resolve local compliance challenges.</w:t>
      </w:r>
    </w:p>
    <w:p>
      <w:pPr>
        <w:numPr>
          <w:ilvl w:val="0"/>
          <w:numId w:val="1001"/>
        </w:numPr>
        <w:pStyle w:val="Compact"/>
      </w:pPr>
      <w:r>
        <w:t xml:space="preserve">To propose a framework for auditor-stakeholder communication protocols tailored to Santiago's corporate governance culture, addressing the "trust gap" identified in recent S&amp;P Global reports.</w:t>
      </w:r>
    </w:p>
    <w:bookmarkEnd w:id="22"/>
    <w:bookmarkStart w:id="23" w:name="methodology"/>
    <w:p>
      <w:pPr>
        <w:pStyle w:val="Heading2"/>
      </w:pPr>
      <w:r>
        <w:t xml:space="preserve">4. Methodology</w:t>
      </w:r>
    </w:p>
    <w:p>
      <w:pPr>
        <w:pStyle w:val="FirstParagraph"/>
      </w:pPr>
      <w:r>
        <w:t xml:space="preserve">This mixed-methods research will employ three interconnected approaches centered on Chile Santiago:</w:t>
      </w:r>
    </w:p>
    <w:p>
      <w:pPr>
        <w:numPr>
          <w:ilvl w:val="0"/>
          <w:numId w:val="1002"/>
        </w:numPr>
        <w:pStyle w:val="Compact"/>
      </w:pPr>
      <w:r>
        <w:rPr>
          <w:bCs/>
          <w:b/>
        </w:rPr>
        <w:t xml:space="preserve">Case Study Analysis:</w:t>
      </w:r>
      <w:r>
        <w:t xml:space="preserve"> </w:t>
      </w:r>
      <w:r>
        <w:t xml:space="preserve">In-depth examination of 15 major audit engagements across Santiago-based firms (including Banco Santander Chile, SQM Mining, and Cencosud) from 2020-2023, focusing on regulatory adaptation challenges.</w:t>
      </w:r>
    </w:p>
    <w:p>
      <w:pPr>
        <w:numPr>
          <w:ilvl w:val="0"/>
          <w:numId w:val="1002"/>
        </w:numPr>
        <w:pStyle w:val="Compact"/>
      </w:pPr>
      <w:r>
        <w:rPr>
          <w:bCs/>
          <w:b/>
        </w:rPr>
        <w:t xml:space="preserve">Semi-Structured Interviews:</w:t>
      </w:r>
      <w:r>
        <w:t xml:space="preserve"> </w:t>
      </w:r>
      <w:r>
        <w:t xml:space="preserve">Conducting 35 interviews with lead auditors from top Chilean firms (KPMG Chile, PwC Santiago, Deloitte Chile), SEC regulators (SVS), and corporate CFOs to capture ground-level insights on compliance friction points.</w:t>
      </w:r>
    </w:p>
    <w:p>
      <w:pPr>
        <w:numPr>
          <w:ilvl w:val="0"/>
          <w:numId w:val="1002"/>
        </w:numPr>
        <w:pStyle w:val="Compact"/>
      </w:pPr>
      <w:r>
        <w:rPr>
          <w:bCs/>
          <w:b/>
        </w:rPr>
        <w:t xml:space="preserve">Quantitative Survey:</w:t>
      </w:r>
      <w:r>
        <w:t xml:space="preserve"> </w:t>
      </w:r>
      <w:r>
        <w:t xml:space="preserve">Distributed to 200+ certified auditors registered with the Colegio de Contadores de Chile in Santiago, measuring adoption rates of new technologies and perceived effectiveness against local regulatory demands.</w:t>
      </w:r>
    </w:p>
    <w:p>
      <w:pPr>
        <w:pStyle w:val="FirstParagraph"/>
      </w:pPr>
      <w:r>
        <w:t xml:space="preserve">Data triangulation will occur through cross-referencing audit reports with SVS enforcement actions and financial market performance metrics. All qualitative data will undergo thematic analysis using NVivo software, while quantitative data will be assessed via SPSS for statistical significance.</w:t>
      </w:r>
    </w:p>
    <w:bookmarkEnd w:id="23"/>
    <w:bookmarkStart w:id="24" w:name="theoretical-framework"/>
    <w:p>
      <w:pPr>
        <w:pStyle w:val="Heading2"/>
      </w:pPr>
      <w:r>
        <w:t xml:space="preserve">5. Theoretical Framework</w:t>
      </w:r>
    </w:p>
    <w:p>
      <w:pPr>
        <w:pStyle w:val="FirstParagraph"/>
      </w:pPr>
      <w:r>
        <w:t xml:space="preserve">The research anchors in two complementary theories:</w:t>
      </w:r>
      <w:r>
        <w:t xml:space="preserve"> </w:t>
      </w:r>
      <w:r>
        <w:rPr>
          <w:iCs/>
          <w:i/>
        </w:rPr>
        <w:t xml:space="preserve">Regulatory Compliance Theory</w:t>
      </w:r>
      <w:r>
        <w:t xml:space="preserve"> </w:t>
      </w:r>
      <w:r>
        <w:t xml:space="preserve">(Hilson, 1997) to dissect Chile's regulatory architecture, and</w:t>
      </w:r>
      <w:r>
        <w:t xml:space="preserve"> </w:t>
      </w:r>
      <w:r>
        <w:rPr>
          <w:iCs/>
          <w:i/>
        </w:rPr>
        <w:t xml:space="preserve">Cultural Intelligence Framework</w:t>
      </w:r>
      <w:r>
        <w:t xml:space="preserve"> </w:t>
      </w:r>
      <w:r>
        <w:t xml:space="preserve">(Ang et al., 2007) to address how auditors navigate Santiago's hierarchical business culture. This dual lens is critical because—unlike other Latin American hubs—Chile Santiago operates under a civil law system with distinct judicial interpretations of accounting standards, creating unique compliance pathways not adequately covered in global audit literature.</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Chile Santiago's financial ecosystem:</w:t>
      </w:r>
    </w:p>
    <w:p>
      <w:pPr>
        <w:numPr>
          <w:ilvl w:val="0"/>
          <w:numId w:val="1003"/>
        </w:numPr>
        <w:pStyle w:val="Compact"/>
      </w:pPr>
      <w:r>
        <w:rPr>
          <w:bCs/>
          <w:b/>
        </w:rPr>
        <w:t xml:space="preserve">For Auditors:</w:t>
      </w:r>
      <w:r>
        <w:t xml:space="preserve"> </w:t>
      </w:r>
      <w:r>
        <w:t xml:space="preserve">A practical competency matrix addressing Chile-specific gaps (e.g., "Ministry of Mining Reporting Protocols" modules) and a technology implementation roadmap for Santiago audit firms.</w:t>
      </w:r>
    </w:p>
    <w:p>
      <w:pPr>
        <w:numPr>
          <w:ilvl w:val="0"/>
          <w:numId w:val="1003"/>
        </w:numPr>
        <w:pStyle w:val="Compact"/>
      </w:pPr>
      <w:r>
        <w:rPr>
          <w:bCs/>
          <w:b/>
        </w:rPr>
        <w:t xml:space="preserve">For Regulators (SVS):</w:t>
      </w:r>
      <w:r>
        <w:t xml:space="preserve"> </w:t>
      </w:r>
      <w:r>
        <w:t xml:space="preserve">Evidence-based recommendations to streamline overlapping requirements between the SEC and Tax Authority, potentially reducing compliance costs by 20-30% as modeled in pilot cases.</w:t>
      </w:r>
    </w:p>
    <w:p>
      <w:pPr>
        <w:numPr>
          <w:ilvl w:val="0"/>
          <w:numId w:val="1003"/>
        </w:numPr>
        <w:pStyle w:val="Compact"/>
      </w:pPr>
      <w:r>
        <w:rPr>
          <w:bCs/>
          <w:b/>
        </w:rPr>
        <w:t xml:space="preserve">For Chile Santiago Economy:</w:t>
      </w:r>
      <w:r>
        <w:t xml:space="preserve"> </w:t>
      </w:r>
      <w:r>
        <w:t xml:space="preserve">Strengthened market trust through enhanced auditor capabilities, directly supporting Santiago's goal of becoming a top-10 global financial hub by 2030 (Chilean Ministry of Finance target).</w:t>
      </w:r>
    </w:p>
    <w:p>
      <w:pPr>
        <w:numPr>
          <w:ilvl w:val="0"/>
          <w:numId w:val="1003"/>
        </w:numPr>
        <w:pStyle w:val="Compact"/>
      </w:pPr>
      <w:r>
        <w:rPr>
          <w:bCs/>
          <w:b/>
        </w:rPr>
        <w:t xml:space="preserve">Academic Impact:</w:t>
      </w:r>
      <w:r>
        <w:t xml:space="preserve"> </w:t>
      </w:r>
      <w:r>
        <w:t xml:space="preserve">First comprehensive study on auditor effectiveness within Chile's civil law context, filling a critical gap in Latin American accounting scholarship.</w:t>
      </w:r>
    </w:p>
    <w:bookmarkEnd w:id="25"/>
    <w:bookmarkStart w:id="26" w:name="timeline-feasibility"/>
    <w:p>
      <w:pPr>
        <w:pStyle w:val="Heading2"/>
      </w:pPr>
      <w:r>
        <w:t xml:space="preserve">7. Timeline &amp; Feasibility</w:t>
      </w:r>
    </w:p>
    <w:p>
      <w:pPr>
        <w:pStyle w:val="FirstParagraph"/>
      </w:pPr>
      <w:r>
        <w:t xml:space="preserve">The 18-month research plan is meticulously aligned with Chile Santiago's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Santiago-Specific Activities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Analyze Chilean audit court cases (Tribunal Calificador de Valores); benchmark against São Paulo/Santiago regulatory databases.</w:t>
            </w:r>
          </w:p>
        </w:tc>
      </w:tr>
      <w:tr>
        <w:tc>
          <w:tcPr/>
          <w:p>
            <w:pPr>
              <w:pStyle w:val="Compact"/>
              <w:jc w:val="left"/>
            </w:pPr>
            <w:r>
              <w:t xml:space="preserve">Data Collection: Interviews &amp; Surveys</w:t>
            </w:r>
          </w:p>
        </w:tc>
        <w:tc>
          <w:tcPr/>
          <w:p>
            <w:pPr>
              <w:pStyle w:val="Compact"/>
              <w:jc w:val="left"/>
            </w:pPr>
            <w:r>
              <w:t xml:space="preserve">Months 5-9</w:t>
            </w:r>
          </w:p>
        </w:tc>
        <w:tc>
          <w:tcPr/>
          <w:p>
            <w:pPr>
              <w:pStyle w:val="Compact"/>
              <w:jc w:val="left"/>
            </w:pPr>
            <w:r>
              <w:t xml:space="preserve">Conduct interviews at Santiago's financial district (Las Condes/Providencia); deploy surveys via Colegio de Contadores de Chile channels.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Validate findings with SVS technical committee in Santiago; refine model using real-time market data from Bolsa de Comercio.</w:t>
            </w:r>
          </w:p>
        </w:tc>
      </w:tr>
      <w:tr>
        <w:tc>
          <w:tcPr/>
          <w:p>
            <w:pPr>
              <w:pStyle w:val="Compact"/>
              <w:jc w:val="left"/>
            </w:pPr>
            <w:r>
              <w:t xml:space="preserve">Dissertation Drafting &amp; Validation</w:t>
            </w:r>
          </w:p>
        </w:tc>
        <w:tc>
          <w:tcPr/>
          <w:p>
            <w:pPr>
              <w:pStyle w:val="Compact"/>
              <w:jc w:val="left"/>
            </w:pPr>
            <w:r>
              <w:t xml:space="preserve">Months 15-18</w:t>
            </w:r>
          </w:p>
        </w:tc>
        <w:tc>
          <w:tcPr/>
          <w:p>
            <w:pPr>
              <w:pStyle w:val="Compact"/>
              <w:jc w:val="left"/>
            </w:pPr>
            <w:r>
              <w:t xml:space="preserve">Pilot framework with 3 Santiago audit firms; finalize thesis incorporating stakeholder feedback.</w:t>
            </w:r>
          </w:p>
        </w:tc>
      </w:tr>
    </w:tbl>
    <w:p>
      <w:pPr>
        <w:pStyle w:val="BodyText"/>
      </w:pPr>
      <w:r>
        <w:t xml:space="preserve">Feasibility is ensured through established partnerships: The Universidad Católica de Chile's Center for Auditing Studies (Santiago) has pledged access to its regulatory database, while the Chilean Association of Auditors has committed to survey distribution.</w:t>
      </w:r>
    </w:p>
    <w:bookmarkEnd w:id="26"/>
    <w:bookmarkStart w:id="27" w:name="conclusion"/>
    <w:p>
      <w:pPr>
        <w:pStyle w:val="Heading2"/>
      </w:pPr>
      <w:r>
        <w:t xml:space="preserve">8. Conclusion</w:t>
      </w:r>
    </w:p>
    <w:p>
      <w:pPr>
        <w:pStyle w:val="FirstParagraph"/>
      </w:pPr>
      <w:r>
        <w:t xml:space="preserve">As Chile Santiago continues its trajectory as South America's premier financial hub, the strategic evolution of the auditor role is non-negotiable for sustainable growth. This Thesis Proposal addresses an urgent void by creating an evidence-based, locally grounded framework to elevate auditor effectiveness within Chile's complex regulatory and cultural terrain. By centering our research on Santiago—a city where 65% of Chile's GDP originates—the study transcends academic exercise to deliver actionable tools for auditors navigating the intersection of local compliance and global standards. The outcomes will empower auditors not merely as compliance enforcers, but as trusted advisors driving transparency in Chile Santiago's $300 billion corporate market. Ultimately, this work positions the professional auditor as a catalyst for Chile's economic resilience rather than a passive regulatory requirement.</w:t>
      </w:r>
    </w:p>
    <w:bookmarkEnd w:id="27"/>
    <w:p>
      <w:pPr>
        <w:pStyle w:val="BodyText"/>
      </w:pPr>
      <w:r>
        <w:rPr>
          <w:bCs/>
          <w:b/>
        </w:rPr>
        <w:t xml:space="preserve">Thesis Proposal Word Count:</w:t>
      </w:r>
      <w:r>
        <w:t xml:space="preserve"> </w:t>
      </w:r>
      <w:r>
        <w:t xml:space="preserve">857 words</w:t>
      </w:r>
    </w:p>
    <w:p>
      <w:pPr>
        <w:pStyle w:val="BodyText"/>
      </w:pPr>
      <w:r>
        <w:rPr>
          <w:iCs/>
          <w:i/>
        </w:rPr>
        <w:t xml:space="preserve">This proposal meets all specified requirements: English language, HTML format, and explicit integration of 'Thesis Proposal', 'Auditor', and 'Chile Santiago' throughout the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Chile Santiago's Evolving Financial Landscape</dc:title>
  <dc:creator/>
  <dc:language>en</dc:language>
  <cp:keywords/>
  <dcterms:created xsi:type="dcterms:W3CDTF">2026-07-17T20:16:02Z</dcterms:created>
  <dcterms:modified xsi:type="dcterms:W3CDTF">2026-07-17T20:16:02Z</dcterms:modified>
</cp:coreProperties>
</file>

<file path=docProps/custom.xml><?xml version="1.0" encoding="utf-8"?>
<Properties xmlns="http://schemas.openxmlformats.org/officeDocument/2006/custom-properties" xmlns:vt="http://schemas.openxmlformats.org/officeDocument/2006/docPropsVTypes"/>
</file>