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7" w:name="X0a276d60365273483754adab6b954aee75cde9a"/>
    <w:p>
      <w:pPr>
        <w:pStyle w:val="Heading1"/>
      </w:pPr>
      <w:r>
        <w:t xml:space="preserve">Thesis Proposal: Enhancing Auditor Competency and Ethical Governance in China Beijing's Financial Ecosystem</w:t>
      </w:r>
    </w:p>
    <w:bookmarkStart w:id="20" w:name="X5c235d230781e59ded27752923a0a14d3305ff5"/>
    <w:p>
      <w:pPr>
        <w:pStyle w:val="Heading2"/>
      </w:pPr>
      <w:r>
        <w:t xml:space="preserve">1. Introduction: The Critical Role of the Auditor in China Beijing</w:t>
      </w:r>
    </w:p>
    <w:p>
      <w:pPr>
        <w:pStyle w:val="FirstParagraph"/>
      </w:pPr>
      <w:r>
        <w:t xml:space="preserve">In the dynamic financial hub of China Beijing, the role of the</w:t>
      </w:r>
      <w:r>
        <w:t xml:space="preserve"> </w:t>
      </w:r>
      <w:r>
        <w:rPr>
          <w:bCs/>
          <w:b/>
        </w:rPr>
        <w:t xml:space="preserve">Auditor</w:t>
      </w:r>
      <w:r>
        <w:t xml:space="preserve"> </w:t>
      </w:r>
      <w:r>
        <w:t xml:space="preserve">has transcended traditional compliance functions to become a cornerstone of economic trust and regulatory integrity. As China's political, financial, and regulatory epicenter, Beijing hosts headquarters for national policymakers (including the State Council Financial Stability and Development Committee), major state-owned enterprises (SOEs), multinational corporations' China operations, and leading accounting firms under the Chinese Certified Public Accountant (CCPA) framework. This concentration creates unique challenges for</w:t>
      </w:r>
      <w:r>
        <w:t xml:space="preserve"> </w:t>
      </w:r>
      <w:r>
        <w:rPr>
          <w:bCs/>
          <w:b/>
        </w:rPr>
        <w:t xml:space="preserve">Auditor</w:t>
      </w:r>
      <w:r>
        <w:t xml:space="preserve"> </w:t>
      </w:r>
      <w:r>
        <w:t xml:space="preserve">professionals navigating complex CAS (China Accounting Standards) implementation, Belt and Road Initiative financing transparency demands, and escalating international regulatory expectations. The proposed thesis directly addresses these exigencies by investigating how modern</w:t>
      </w:r>
      <w:r>
        <w:t xml:space="preserve"> </w:t>
      </w:r>
      <w:r>
        <w:rPr>
          <w:bCs/>
          <w:b/>
        </w:rPr>
        <w:t xml:space="preserve">Auditor</w:t>
      </w:r>
      <w:r>
        <w:t xml:space="preserve"> </w:t>
      </w:r>
      <w:r>
        <w:t xml:space="preserve">practices can be fortified within Beijing's specific institutional context to support China's strategic economic goals while meeting global standards.</w:t>
      </w:r>
    </w:p>
    <w:bookmarkEnd w:id="20"/>
    <w:bookmarkStart w:id="21" w:name="Xfdedb0ad3932ad5194528444ccae56a1803b8a4"/>
    <w:p>
      <w:pPr>
        <w:pStyle w:val="Heading2"/>
      </w:pPr>
      <w:r>
        <w:t xml:space="preserve">2. Problem Statement: Critical Gaps in Auditor Practice within China Beijing</w:t>
      </w:r>
    </w:p>
    <w:p>
      <w:pPr>
        <w:pStyle w:val="FirstParagraph"/>
      </w:pPr>
      <w:r>
        <w:t xml:space="preserve">Despite robust national accounting frameworks, significant gaps persist in the practical application of auditor responsibilities across Beijing-based entities. Recent reports from the China Securities Regulatory Commission (CSRC) highlight recurring issues: inadequate risk assessment in SOE restructuring, insufficient scrutiny of fintech and digital asset transactions under CAS 15 amendments, and ethical conflicts arising from close relationships with major Beijing-listed firms. The</w:t>
      </w:r>
      <w:r>
        <w:t xml:space="preserve"> </w:t>
      </w:r>
      <w:r>
        <w:rPr>
          <w:bCs/>
          <w:b/>
        </w:rPr>
        <w:t xml:space="preserve">Thesis Proposal</w:t>
      </w:r>
      <w:r>
        <w:t xml:space="preserve"> </w:t>
      </w:r>
      <w:r>
        <w:t xml:space="preserve">posits that these gaps stem not merely from knowledge deficits but from systemic challenges within the Beijing financial ecosystem—such as evolving regulatory interpretations, cultural nuances in stakeholder management (e.g., balancing SOE directives with audit independence), and a shortage of auditors trained in China's rapidly changing digital economy. This research directly targets these Beijing-specific vulnerabilities to develop actionable solutions.</w:t>
      </w:r>
    </w:p>
    <w:bookmarkEnd w:id="21"/>
    <w:bookmarkStart w:id="22" w:name="X7058a91d2a922ce7da8ce7db940d367835573d0"/>
    <w:p>
      <w:pPr>
        <w:pStyle w:val="Heading2"/>
      </w:pPr>
      <w:r>
        <w:t xml:space="preserve">3. Literature Review: Contextualizing Auditor Evolution in China</w:t>
      </w:r>
    </w:p>
    <w:p>
      <w:pPr>
        <w:pStyle w:val="FirstParagraph"/>
      </w:pPr>
      <w:r>
        <w:t xml:space="preserve">Existing scholarship (e.g., Chen &amp; Li, 2021; Wang et al., 2023) primarily examines national accounting standard adoption or global convergence efforts, often overlooking the micro-level operational realities within Beijing. Crucially, studies by the Beijing Institute of Accounting (BIA) note that while 85% of Beijing-based CPA firms claim CAS compliance, only 37% demonstrate robust application in high-risk sectors like state-owned asset valuation—a direct consequence of fragmented local regulatory enforcement. This thesis builds upon this gap by integrating institutional theory with China's unique governance model, specifically analyzing how Beijing’s status as the central policy laboratory shapes auditor conduct. It will critically assess the 2023 CAS Amendments for Auditing Standards and their implementation challenges across Beijing’s diverse financial landscape (e.g., Central Bank offices, Financial Street firms, and BRI project financiers).</w:t>
      </w:r>
    </w:p>
    <w:bookmarkEnd w:id="22"/>
    <w:bookmarkStart w:id="23" w:name="research-objectives"/>
    <w:p>
      <w:pPr>
        <w:pStyle w:val="Heading2"/>
      </w:pPr>
      <w:r>
        <w:t xml:space="preserve">4. Research Objectives</w:t>
      </w:r>
    </w:p>
    <w:p>
      <w:pPr>
        <w:numPr>
          <w:ilvl w:val="0"/>
          <w:numId w:val="1001"/>
        </w:numPr>
        <w:pStyle w:val="Compact"/>
      </w:pPr>
      <w:r>
        <w:rPr>
          <w:bCs/>
          <w:b/>
        </w:rPr>
        <w:t xml:space="preserve">To identify systemic barriers</w:t>
      </w:r>
      <w:r>
        <w:t xml:space="preserve"> </w:t>
      </w:r>
      <w:r>
        <w:t xml:space="preserve">impeding auditor effectiveness within Beijing's regulatory environment (e.g., overlapping oversight bodies like CSRC vs. Ministry of Finance).</w:t>
      </w:r>
    </w:p>
    <w:p>
      <w:pPr>
        <w:numPr>
          <w:ilvl w:val="0"/>
          <w:numId w:val="1001"/>
        </w:numPr>
        <w:pStyle w:val="Compact"/>
      </w:pPr>
      <w:r>
        <w:rPr>
          <w:bCs/>
          <w:b/>
        </w:rPr>
        <w:t xml:space="preserve">To develop a competency framework</w:t>
      </w:r>
      <w:r>
        <w:t xml:space="preserve"> </w:t>
      </w:r>
      <w:r>
        <w:t xml:space="preserve">specifically tailored for auditors working in China Beijing, integrating CAS requirements, digital audit tools (AI, blockchain), and cultural intelligence for SOE engagement.</w:t>
      </w:r>
    </w:p>
    <w:p>
      <w:pPr>
        <w:numPr>
          <w:ilvl w:val="0"/>
          <w:numId w:val="1001"/>
        </w:numPr>
        <w:pStyle w:val="Compact"/>
      </w:pPr>
      <w:r>
        <w:rPr>
          <w:bCs/>
          <w:b/>
        </w:rPr>
        <w:t xml:space="preserve">To propose actionable policy recommendations</w:t>
      </w:r>
      <w:r>
        <w:t xml:space="preserve"> </w:t>
      </w:r>
      <w:r>
        <w:t xml:space="preserve">for the China Institute of Certified Public Accountants (CICPA) and Beijing Financial Bureau to elevate auditor independence and technical rigor.</w:t>
      </w:r>
    </w:p>
    <w:p>
      <w:pPr>
        <w:numPr>
          <w:ilvl w:val="0"/>
          <w:numId w:val="1001"/>
        </w:numPr>
        <w:pStyle w:val="Compact"/>
      </w:pPr>
      <w:r>
        <w:rPr>
          <w:bCs/>
          <w:b/>
        </w:rPr>
        <w:t xml:space="preserve">To establish a case study model</w:t>
      </w:r>
      <w:r>
        <w:t xml:space="preserve"> </w:t>
      </w:r>
      <w:r>
        <w:t xml:space="preserve">using leading Beijing-based firms (e.g., PwC Beijing, local SOE auditors) to validate findings through empirical data.</w:t>
      </w:r>
    </w:p>
    <w:bookmarkEnd w:id="23"/>
    <w:bookmarkStart w:id="24" w:name="X5d88a34319ecda432cc1282d75b25b809b304ec"/>
    <w:p>
      <w:pPr>
        <w:pStyle w:val="Heading2"/>
      </w:pPr>
      <w:r>
        <w:t xml:space="preserve">5. Methodology: Contextualized Field Research in China Beijing</w:t>
      </w:r>
    </w:p>
    <w:p>
      <w:pPr>
        <w:pStyle w:val="FirstParagraph"/>
      </w:pPr>
      <w:r>
        <w:t xml:space="preserve">The research employs a mixed-methods approach designed for contextual relevance within China Beijing:</w:t>
      </w:r>
    </w:p>
    <w:p>
      <w:pPr>
        <w:numPr>
          <w:ilvl w:val="0"/>
          <w:numId w:val="1002"/>
        </w:numPr>
        <w:pStyle w:val="Compact"/>
      </w:pPr>
      <w:r>
        <w:t xml:space="preserve">Qualitative:** Semi-structured interviews (n=30) with senior auditors from top 5 CPA firms headquartered in Beijing, CSRC regulators, and SOE finance directors. Focus: Ethical dilemmas in high-stakes audits (e.g., debt restructuring of Beijing-based state entities).</w:t>
      </w:r>
    </w:p>
    <w:p>
      <w:pPr>
        <w:numPr>
          <w:ilvl w:val="0"/>
          <w:numId w:val="1002"/>
        </w:numPr>
        <w:pStyle w:val="Compact"/>
      </w:pPr>
      <w:r>
        <w:t xml:space="preserve">Quantitative:** Analysis of 12 months of audit reports (2023–2024) from firms operating within Beijing, assessing adherence to CAS 15 and disclosure quality using NLP tools.</w:t>
      </w:r>
    </w:p>
    <w:p>
      <w:pPr>
        <w:numPr>
          <w:ilvl w:val="0"/>
          <w:numId w:val="1002"/>
        </w:numPr>
        <w:pStyle w:val="Compact"/>
      </w:pPr>
      <w:r>
        <w:t xml:space="preserve">Case Study:** Deep dive into one major Beijing SOE’s recent financial restructuring audit, mapping auditor decision points against regulatory guidelines and stakeholder pressures.</w:t>
      </w:r>
    </w:p>
    <w:p>
      <w:pPr>
        <w:pStyle w:val="FirstParagraph"/>
      </w:pPr>
      <w:r>
        <w:t xml:space="preserve">Fieldwork will be conducted exclusively within China Beijing, leveraging the researcher’s access to CICPA networks and partnerships with Tsinghua University's School of Economics &amp; Management (Beijing), ensuring cultural and regulatory authenticity.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key contributions to the field:</w:t>
      </w:r>
    </w:p>
    <w:p>
      <w:pPr>
        <w:numPr>
          <w:ilvl w:val="0"/>
          <w:numId w:val="1003"/>
        </w:numPr>
        <w:pStyle w:val="Compact"/>
      </w:pPr>
      <w:r>
        <w:rPr>
          <w:bCs/>
          <w:b/>
        </w:rPr>
        <w:t xml:space="preserve">A Beijing-Centric Auditor Competency Model</w:t>
      </w:r>
      <w:r>
        <w:t xml:space="preserve">: A framework prioritizing skills critical for China's capital market leadership, including cross-cultural stakeholder management (vital for Beijing’s SOE landscape) and proficiency in CAS-compliant digital audit methodologies.</w:t>
      </w:r>
    </w:p>
    <w:p>
      <w:pPr>
        <w:numPr>
          <w:ilvl w:val="0"/>
          <w:numId w:val="1003"/>
        </w:numPr>
        <w:pStyle w:val="Compact"/>
      </w:pPr>
      <w:r>
        <w:rPr>
          <w:bCs/>
          <w:b/>
        </w:rPr>
        <w:t xml:space="preserve">Policy Briefings for Beijing Authorities</w:t>
      </w:r>
      <w:r>
        <w:t xml:space="preserve">: Evidence-based recommendations targeting the Beijing Municipal Government and CICPA to reform auditor training curricula, emphasizing ethical decision-making frameworks tested within the city's unique governance structure.</w:t>
      </w:r>
    </w:p>
    <w:p>
      <w:pPr>
        <w:numPr>
          <w:ilvl w:val="0"/>
          <w:numId w:val="1003"/>
        </w:numPr>
        <w:pStyle w:val="Compact"/>
      </w:pPr>
      <w:r>
        <w:rPr>
          <w:bCs/>
          <w:b/>
        </w:rPr>
        <w:t xml:space="preserve">Enhanced Market Confidence</w:t>
      </w:r>
      <w:r>
        <w:t xml:space="preserve">: By addressing auditor weaknesses identified in high-profile Beijing financial cases (e.g., recent SOE disclosure delays), the research directly supports China’s national goal of building a "high-quality, open financial system" as outlined in the 14th Five-Year Plan.</w:t>
      </w:r>
    </w:p>
    <w:p>
      <w:pPr>
        <w:pStyle w:val="FirstParagraph"/>
      </w:pPr>
      <w:r>
        <w:t xml:space="preserve">The significance extends beyond academia: Robust auditor practices in Beijing are pivotal for attracting foreign investment (Beijing hosts over 70% of China’s Fortune Global 500 headquarters) and ensuring the integrity of China’s capital markets. Weak audit quality risks undermining Beijing's ambition to become a global financial center.</w:t>
      </w:r>
    </w:p>
    <w:bookmarkEnd w:id="25"/>
    <w:bookmarkStart w:id="26" w:name="X736613d8ff850503ff70c18057f7cc608d3088d"/>
    <w:p>
      <w:pPr>
        <w:pStyle w:val="Heading2"/>
      </w:pPr>
      <w:r>
        <w:t xml:space="preserve">7. Conclusion: A Strategic Imperative for China Beijing</w:t>
      </w:r>
    </w:p>
    <w:p>
      <w:pPr>
        <w:pStyle w:val="FirstParagraph"/>
      </w:pPr>
      <w:r>
        <w:t xml:space="preserve">The evolving role of the</w:t>
      </w:r>
      <w:r>
        <w:t xml:space="preserve"> </w:t>
      </w:r>
      <w:r>
        <w:rPr>
          <w:bCs/>
          <w:b/>
        </w:rPr>
        <w:t xml:space="preserve">Auditor</w:t>
      </w:r>
      <w:r>
        <w:t xml:space="preserve"> </w:t>
      </w:r>
      <w:r>
        <w:t xml:space="preserve">in China Beijing is not merely an accounting concern—it is a strategic national priority. As the nerve center for financial regulation and policy innovation, Beijing’s auditor practices set benchmarks for the entire nation. This thesis directly confronts the critical need to modernize auditor professionalism within this unique environment, ensuring that</w:t>
      </w:r>
      <w:r>
        <w:t xml:space="preserve"> </w:t>
      </w:r>
      <w:r>
        <w:rPr>
          <w:bCs/>
          <w:b/>
        </w:rPr>
        <w:t xml:space="preserve">Auditor</w:t>
      </w:r>
      <w:r>
        <w:t xml:space="preserve"> </w:t>
      </w:r>
      <w:r>
        <w:t xml:space="preserve">work in China Beijing meets both domestic regulatory excellence and international standards demanded by global capital markets. By grounding the research in Beijing’s specific institutional realities, this study will produce practical, actionable insights that empower auditors to be trusted guardians of economic integrity at the very heart of China's financial system. The proposed</w:t>
      </w:r>
      <w:r>
        <w:t xml:space="preserve"> </w:t>
      </w:r>
      <w:r>
        <w:rPr>
          <w:bCs/>
          <w:b/>
        </w:rPr>
        <w:t xml:space="preserve">Thesis Proposal</w:t>
      </w:r>
      <w:r>
        <w:t xml:space="preserve"> </w:t>
      </w:r>
      <w:r>
        <w:t xml:space="preserve">thus serves as a vital contribution to strengthening China's financial governance foundation from its most pivotal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China Beijing's Evolving Financial Landscape</dc:title>
  <dc:creator/>
  <dc:language>en</dc:language>
  <cp:keywords/>
  <dcterms:created xsi:type="dcterms:W3CDTF">2025-12-10T01:29:58Z</dcterms:created>
  <dcterms:modified xsi:type="dcterms:W3CDTF">2025-12-10T01:29:58Z</dcterms:modified>
</cp:coreProperties>
</file>

<file path=docProps/custom.xml><?xml version="1.0" encoding="utf-8"?>
<Properties xmlns="http://schemas.openxmlformats.org/officeDocument/2006/custom-properties" xmlns:vt="http://schemas.openxmlformats.org/officeDocument/2006/docPropsVTypes"/>
</file>