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in</w:t>
      </w:r>
      <w:r>
        <w:t xml:space="preserve"> </w:t>
      </w:r>
      <w:r>
        <w:t xml:space="preserve">China</w:t>
      </w:r>
      <w:r>
        <w:t xml:space="preserve"> </w:t>
      </w:r>
      <w:r>
        <w:t xml:space="preserve">Guangzhou's</w:t>
      </w:r>
      <w:r>
        <w:t xml:space="preserve"> </w:t>
      </w:r>
      <w:r>
        <w:t xml:space="preserve">Dynamic</w:t>
      </w:r>
      <w:r>
        <w:t xml:space="preserve"> </w:t>
      </w:r>
      <w:r>
        <w:t xml:space="preserve">Economic</w:t>
      </w:r>
      <w:r>
        <w:t xml:space="preserve"> </w:t>
      </w:r>
      <w:r>
        <w:t xml:space="preserve">Landscape</w:t>
      </w:r>
    </w:p>
    <w:bookmarkStart w:id="28" w:name="X6b9486c6cd752394a6f2e4b147cd8cce5d4699c"/>
    <w:p>
      <w:pPr>
        <w:pStyle w:val="Heading1"/>
      </w:pPr>
      <w:r>
        <w:t xml:space="preserve">Thesis Proposal: Advancing Auditor Professionalism and Regulatory Compliance in China Guangzhou</w:t>
      </w:r>
    </w:p>
    <w:bookmarkStart w:id="20" w:name="introduction-and-research-context"/>
    <w:p>
      <w:pPr>
        <w:pStyle w:val="Heading2"/>
      </w:pPr>
      <w:r>
        <w:t xml:space="preserve">1. Introduction and Research Context</w:t>
      </w:r>
    </w:p>
    <w:p>
      <w:pPr>
        <w:pStyle w:val="FirstParagraph"/>
      </w:pPr>
      <w:r>
        <w:t xml:space="preserve">The rapid economic evolution of China Guangzhou, as a pivotal hub within the Pearl River Delta and the Greater Bay Area initiative, demands unprecedented rigor in financial oversight. This Thesis Proposal addresses a critical gap: the need for specialized Auditor expertise tailored to Guangzhou’s unique business ecosystem. As one of China’s top ten cities in foreign investment and manufacturing output, Guangzhou hosts over 300 multinational corporations (MNCs) and dynamic SME clusters in electronics, logistics, and e-commerce. However, the escalating complexity of cross-border transactions, evolving PRC accounting standards (e.g., CAS 2023), and heightened regulatory scrutiny from China’s Ministry of Finance necessitate a reevaluation of Auditor practices within this specific provincial context. This Thesis Proposal argues that current Auditor frameworks in Guangzhou require contextual adaptation to prevent systemic financial risks in a city driving 15% of China’s GDP growth.</w:t>
      </w:r>
    </w:p>
    <w:bookmarkEnd w:id="20"/>
    <w:bookmarkStart w:id="21" w:name="problem-statement-and-research-gap"/>
    <w:p>
      <w:pPr>
        <w:pStyle w:val="Heading2"/>
      </w:pPr>
      <w:r>
        <w:t xml:space="preserve">2. Problem Statement and Research Gap</w:t>
      </w:r>
    </w:p>
    <w:p>
      <w:pPr>
        <w:pStyle w:val="FirstParagraph"/>
      </w:pPr>
      <w:r>
        <w:t xml:space="preserve">Despite Guangzhou’s economic significance, existing audit research largely overlooks local institutional nuances. Most studies generalize audit challenges across China, ignoring Guangzhou’s distinct characteristics: its high concentration of family-owned enterprises (accounting for 45% of local SMEs), the Nansha Free Trade Zone’s cross-border tax complexities, and the influence of regional policies like the "Guangdong-Hong Kong-Macao Greater Bay Area Development Plan." This oversight creates a dangerous research gap. Current Auditor training programs in Guangzhou universities (e.g., Sun Yat-sen University) emphasize theoretical compliance but lack field-based case studies on real-time challenges such as auditing fintech platforms (e.g., Pinduoduo’s regional HQ) or managing SOE restructuring in Guangzhou’s industrial parks. Consequently, this Thesis Proposal will investigate how Auditor competency gaps directly impact financial transparency for investors and regulators operating within China Guangzhou.</w:t>
      </w:r>
    </w:p>
    <w:bookmarkEnd w:id="21"/>
    <w:bookmarkStart w:id="22" w:name="research-objectives"/>
    <w:p>
      <w:pPr>
        <w:pStyle w:val="Heading2"/>
      </w:pPr>
      <w:r>
        <w:t xml:space="preserve">3. Research Objectives</w:t>
      </w:r>
    </w:p>
    <w:p>
      <w:pPr>
        <w:numPr>
          <w:ilvl w:val="0"/>
          <w:numId w:val="1001"/>
        </w:numPr>
        <w:pStyle w:val="Compact"/>
      </w:pPr>
      <w:r>
        <w:t xml:space="preserve">To analyze the efficacy of current Auditor regulatory protocols (e.g., China’s "Auditing Standards for Professional Accountants") in addressing Guangzhou-specific risks like supply chain finance fraud in the auto-parts sector.</w:t>
      </w:r>
    </w:p>
    <w:p>
      <w:pPr>
        <w:numPr>
          <w:ilvl w:val="0"/>
          <w:numId w:val="1001"/>
        </w:numPr>
        <w:pStyle w:val="Compact"/>
      </w:pPr>
      <w:r>
        <w:t xml:space="preserve">To evaluate how cultural factors (e.g., relationship-based business networks) influence Auditor independence during audits of Guangzhou-based SOEs.</w:t>
      </w:r>
    </w:p>
    <w:p>
      <w:pPr>
        <w:numPr>
          <w:ilvl w:val="0"/>
          <w:numId w:val="1001"/>
        </w:numPr>
        <w:pStyle w:val="Compact"/>
      </w:pPr>
      <w:r>
        <w:t xml:space="preserve">To propose a localized Auditor training framework integrating CAS updates, digital audit tools (AI for transaction monitoring), and Guangzhou’s economic policy shifts.</w:t>
      </w:r>
    </w:p>
    <w:bookmarkEnd w:id="22"/>
    <w:bookmarkStart w:id="23" w:name="X1e23c80e11e3e15c3b818ab231970cd7026f95c"/>
    <w:p>
      <w:pPr>
        <w:pStyle w:val="Heading2"/>
      </w:pPr>
      <w:r>
        <w:t xml:space="preserve">4. Literature Review: Filling the China Guangzhou Void</w:t>
      </w:r>
    </w:p>
    <w:p>
      <w:pPr>
        <w:pStyle w:val="FirstParagraph"/>
      </w:pPr>
      <w:r>
        <w:t xml:space="preserve">While global literature discusses auditor liability (e.g., DeFond &amp; Zhang, 2014), few studies anchor findings to China Guangzhou. Wang (2023) examined SOE audits in Shenzhen but omitted Guangzhou’s 58% higher SME density. Liu &amp; Chen (2021) analyzed audit delays in Guangdong Province but missed Nansha’s customs-related reporting complexities. This Thesis Proposal bridges these gaps by centering data collection exclusively within China Guangzhou, leveraging partnerships with the Guangdong Provincial Audit Office and the Guangzhou Accounting Association. Crucially, it will compare Auditor performance metrics across three zones: Tianhe CBD (MNCs), Baiyun District (manufacturing SMEs), and Nansha FTZ (cross-border trade)—proving why a one-size-fits-all approach fails in this megacity.</w:t>
      </w:r>
    </w:p>
    <w:bookmarkEnd w:id="23"/>
    <w:bookmarkStart w:id="24" w:name="methodology"/>
    <w:p>
      <w:pPr>
        <w:pStyle w:val="Heading2"/>
      </w:pPr>
      <w:r>
        <w:t xml:space="preserve">5. Methodology</w:t>
      </w:r>
    </w:p>
    <w:p>
      <w:pPr>
        <w:pStyle w:val="FirstParagraph"/>
      </w:pPr>
      <w:r>
        <w:t xml:space="preserve">This mixed-methods study employs triangulation for robustness within China Guangzhou:</w:t>
      </w:r>
    </w:p>
    <w:p>
      <w:pPr>
        <w:numPr>
          <w:ilvl w:val="0"/>
          <w:numId w:val="1002"/>
        </w:numPr>
        <w:pStyle w:val="Compact"/>
      </w:pPr>
      <w:r>
        <w:rPr>
          <w:bCs/>
          <w:b/>
        </w:rPr>
        <w:t xml:space="preserve">Quantitative:</w:t>
      </w:r>
      <w:r>
        <w:t xml:space="preserve"> </w:t>
      </w:r>
      <w:r>
        <w:t xml:space="preserve">Survey 150 Auditors from Guangzhou-based firms (e.g., PwC Guangzhou, local CPA practices) using Likert-scale questions on compliance challenges with CAS 2023 and regulatory updates from the China Securities Regulatory Commission (CSRC).</w:t>
      </w:r>
    </w:p>
    <w:p>
      <w:pPr>
        <w:numPr>
          <w:ilvl w:val="0"/>
          <w:numId w:val="1002"/>
        </w:numPr>
        <w:pStyle w:val="Compact"/>
      </w:pPr>
      <w:r>
        <w:rPr>
          <w:bCs/>
          <w:b/>
        </w:rPr>
        <w:t xml:space="preserve">Qualitative:</w:t>
      </w:r>
      <w:r>
        <w:t xml:space="preserve"> </w:t>
      </w:r>
      <w:r>
        <w:t xml:space="preserve">Conduct 30 semi-structured interviews with Senior Auditors at key firms and regulators in Guangzhou, probing case studies like auditing a Nansha logistics firm during the 2023 RCEP tariff adjustments.</w:t>
      </w:r>
    </w:p>
    <w:p>
      <w:pPr>
        <w:numPr>
          <w:ilvl w:val="0"/>
          <w:numId w:val="1002"/>
        </w:numPr>
        <w:pStyle w:val="Compact"/>
      </w:pPr>
      <w:r>
        <w:rPr>
          <w:bCs/>
          <w:b/>
        </w:rPr>
        <w:t xml:space="preserve">Fieldwork:</w:t>
      </w:r>
      <w:r>
        <w:t xml:space="preserve"> </w:t>
      </w:r>
      <w:r>
        <w:t xml:space="preserve">Analyze 50 recent audit reports from Guangzhou’s industrial parks via the China Securities Investor Protection Fund, identifying recurring "red flags" (e.g., inconsistent revenue recognition in e-commerce audits).</w:t>
      </w:r>
    </w:p>
    <w:p>
      <w:pPr>
        <w:pStyle w:val="FirstParagraph"/>
      </w:pPr>
      <w:r>
        <w:t xml:space="preserve">All data collection will adhere to China’s Personal Information Protection Law (PIPL) and secure collaboration with Guangzhou University’s Institute of Economic Research. This localized methodology ensures the Thesis Proposal delivers actionable insights directly applicable to China Guangzhou’s audit practitioners.</w:t>
      </w:r>
    </w:p>
    <w:bookmarkEnd w:id="24"/>
    <w:bookmarkStart w:id="25" w:name="significance-and-expected-contributions"/>
    <w:p>
      <w:pPr>
        <w:pStyle w:val="Heading2"/>
      </w:pPr>
      <w:r>
        <w:t xml:space="preserve">6. Significance and Expected Contributions</w:t>
      </w:r>
    </w:p>
    <w:p>
      <w:pPr>
        <w:pStyle w:val="FirstParagraph"/>
      </w:pPr>
      <w:r>
        <w:t xml:space="preserve">This Thesis Proposal will deliver three transformative contributions for China Guangzhou:</w:t>
      </w:r>
    </w:p>
    <w:p>
      <w:pPr>
        <w:numPr>
          <w:ilvl w:val="0"/>
          <w:numId w:val="1003"/>
        </w:numPr>
        <w:pStyle w:val="Compact"/>
      </w:pPr>
      <w:r>
        <w:rPr>
          <w:bCs/>
          <w:b/>
        </w:rPr>
        <w:t xml:space="preserve">Policy Impact:</w:t>
      </w:r>
      <w:r>
        <w:t xml:space="preserve"> </w:t>
      </w:r>
      <w:r>
        <w:t xml:space="preserve">Draft a regulatory toolkit for the Guangdong Audit Bureau addressing audit failures in high-risk sectors like Fintech (e.g., 30% of Guangzhou’s fintech firms face auditing delays).</w:t>
      </w:r>
    </w:p>
    <w:p>
      <w:pPr>
        <w:numPr>
          <w:ilvl w:val="0"/>
          <w:numId w:val="1003"/>
        </w:numPr>
        <w:pStyle w:val="Compact"/>
      </w:pPr>
      <w:r>
        <w:rPr>
          <w:bCs/>
          <w:b/>
        </w:rPr>
        <w:t xml:space="preserve">Professional Development:</w:t>
      </w:r>
      <w:r>
        <w:t xml:space="preserve"> </w:t>
      </w:r>
      <w:r>
        <w:t xml:space="preserve">Develop a curriculum model for local universities (e.g., South China University of Technology) to embed Guangzhou-specific case studies into Auditor training.</w:t>
      </w:r>
    </w:p>
    <w:p>
      <w:pPr>
        <w:numPr>
          <w:ilvl w:val="0"/>
          <w:numId w:val="1003"/>
        </w:numPr>
        <w:pStyle w:val="Compact"/>
      </w:pPr>
      <w:r>
        <w:rPr>
          <w:bCs/>
          <w:b/>
        </w:rPr>
        <w:t xml:space="preserve">Economic Security:</w:t>
      </w:r>
      <w:r>
        <w:t xml:space="preserve"> </w:t>
      </w:r>
      <w:r>
        <w:t xml:space="preserve">Reduce financial misreporting risks for investors in the Greater Bay Area, directly supporting the "Guangdong-Hong Kong-Macao" strategic vision by enhancing market trust.</w:t>
      </w:r>
    </w:p>
    <w:bookmarkEnd w:id="25"/>
    <w:bookmarkStart w:id="26" w:name="timeline-and-feasibility"/>
    <w:p>
      <w:pPr>
        <w:pStyle w:val="Heading2"/>
      </w:pPr>
      <w:r>
        <w:t xml:space="preserve">7. Timeline and Feasibility</w:t>
      </w:r>
    </w:p>
    <w:p>
      <w:pPr>
        <w:pStyle w:val="FirstParagraph"/>
      </w:pPr>
      <w:r>
        <w:t xml:space="preserve">The 18-month project timeline is designed for Guangzhou’s operational rhythm:</w:t>
      </w:r>
    </w:p>
    <w:p>
      <w:pPr>
        <w:numPr>
          <w:ilvl w:val="0"/>
          <w:numId w:val="1004"/>
        </w:numPr>
        <w:pStyle w:val="Compact"/>
      </w:pPr>
      <w:r>
        <w:rPr>
          <w:bCs/>
          <w:b/>
        </w:rPr>
        <w:t xml:space="preserve">Months 1-4:</w:t>
      </w:r>
      <w:r>
        <w:t xml:space="preserve"> </w:t>
      </w:r>
      <w:r>
        <w:t xml:space="preserve">Secure ethics approval from Guangzhou institutions; finalize survey tools.</w:t>
      </w:r>
    </w:p>
    <w:p>
      <w:pPr>
        <w:numPr>
          <w:ilvl w:val="0"/>
          <w:numId w:val="1004"/>
        </w:numPr>
        <w:pStyle w:val="Compact"/>
      </w:pPr>
      <w:r>
        <w:rPr>
          <w:bCs/>
          <w:b/>
        </w:rPr>
        <w:t xml:space="preserve">Months 5-10:</w:t>
      </w:r>
      <w:r>
        <w:t xml:space="preserve"> </w:t>
      </w:r>
      <w:r>
        <w:t xml:space="preserve">Data collection across Guangzhou’s industrial zones (aligned with Q3 fiscal reporting cycles).</w:t>
      </w:r>
    </w:p>
    <w:p>
      <w:pPr>
        <w:numPr>
          <w:ilvl w:val="0"/>
          <w:numId w:val="1004"/>
        </w:numPr>
        <w:pStyle w:val="Compact"/>
      </w:pPr>
      <w:r>
        <w:rPr>
          <w:bCs/>
          <w:b/>
        </w:rPr>
        <w:t xml:space="preserve">Months 11-14:</w:t>
      </w:r>
      <w:r>
        <w:t xml:space="preserve"> </w:t>
      </w:r>
      <w:r>
        <w:t xml:space="preserve">Statistical analysis and interview coding; draft policy recommendations.</w:t>
      </w:r>
    </w:p>
    <w:p>
      <w:pPr>
        <w:numPr>
          <w:ilvl w:val="0"/>
          <w:numId w:val="1004"/>
        </w:numPr>
        <w:pStyle w:val="Compact"/>
      </w:pPr>
      <w:r>
        <w:rPr>
          <w:bCs/>
          <w:b/>
        </w:rPr>
        <w:t xml:space="preserve">Months 15-18:</w:t>
      </w:r>
      <w:r>
        <w:t xml:space="preserve"> </w:t>
      </w:r>
      <w:r>
        <w:t xml:space="preserve">Stakeholder validation workshops in Guangzhou City Hall; finalize Thesis Proposal.</w:t>
      </w:r>
    </w:p>
    <w:bookmarkEnd w:id="26"/>
    <w:bookmarkStart w:id="27" w:name="conclusion"/>
    <w:p>
      <w:pPr>
        <w:pStyle w:val="Heading2"/>
      </w:pPr>
      <w:r>
        <w:t xml:space="preserve">8. Conclusion</w:t>
      </w:r>
    </w:p>
    <w:p>
      <w:pPr>
        <w:pStyle w:val="FirstParagraph"/>
      </w:pPr>
      <w:r>
        <w:t xml:space="preserve">In conclusion, this Thesis Proposal transcends generic audit research by embedding "China Guangzhou" as the non-negotiable context for Auditor accountability. As Guangzhou accelerates its role in China’s dual-circulation strategy, the competence and adaptability of every Auditor operating within this city become vital to national economic stability. This research will not merely document challenges but engineer solutions—ensuring that each Auditor in Guangzhou is equipped to uphold the highest standards of integrity for a global economy increasingly dependent on China’s southern metropolis. The findings will be directly submitted to the Guangdong Provincial Financial Supervisory Authority and integrated into professional development frameworks for Auditors across South China, cementing this Thesis Proposal’s legacy as a foundational resource for sustainable growth in China Guangzhou.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Accountability in China Guangzhou's Dynamic Economic Landscape</dc:title>
  <dc:creator/>
  <dc:language>en</dc:language>
  <cp:keywords/>
  <dcterms:created xsi:type="dcterms:W3CDTF">2026-05-31T00:29:52Z</dcterms:created>
  <dcterms:modified xsi:type="dcterms:W3CDTF">2026-05-31T00:29:52Z</dcterms:modified>
</cp:coreProperties>
</file>

<file path=docProps/custom.xml><?xml version="1.0" encoding="utf-8"?>
<Properties xmlns="http://schemas.openxmlformats.org/officeDocument/2006/custom-properties" xmlns:vt="http://schemas.openxmlformats.org/officeDocument/2006/docPropsVTypes"/>
</file>