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Germany</w:t>
      </w:r>
      <w:r>
        <w:t xml:space="preserve"> </w:t>
      </w:r>
      <w:r>
        <w:t xml:space="preserve">Berlin's</w:t>
      </w:r>
      <w:r>
        <w:t xml:space="preserve"> </w:t>
      </w:r>
      <w:r>
        <w:t xml:space="preserve">Financial</w:t>
      </w:r>
      <w:r>
        <w:t xml:space="preserve"> </w:t>
      </w:r>
      <w:r>
        <w:t xml:space="preserve">Ecosystem</w:t>
      </w:r>
    </w:p>
    <w:bookmarkStart w:id="30" w:name="X5fd4f3ec6201735bea12b8dc5aa49dff0bbfeb4"/>
    <w:p>
      <w:pPr>
        <w:pStyle w:val="Heading1"/>
      </w:pPr>
      <w:r>
        <w:t xml:space="preserve">Thesis Proposal: The Evolving Role of Internal Auditors in Germany Berlin's Financial Ecosystem</w:t>
      </w:r>
    </w:p>
    <w:bookmarkStart w:id="20" w:name="introduction"/>
    <w:p>
      <w:pPr>
        <w:pStyle w:val="Heading2"/>
      </w:pPr>
      <w:r>
        <w:t xml:space="preserve">1. Introduction</w:t>
      </w:r>
    </w:p>
    <w:p>
      <w:pPr>
        <w:pStyle w:val="FirstParagraph"/>
      </w:pPr>
      <w:r>
        <w:t xml:space="preserve">The financial landscape of Germany Berlin represents a critical nexus of European economic activity, hosting headquarters for major banks, fintech innovators, and multinational corporations under stringent German regulatory frameworks. As the capital city emerges as Germany's leading financial hub outside Frankfurt, the role of the internal</w:t>
      </w:r>
      <w:r>
        <w:t xml:space="preserve"> </w:t>
      </w:r>
      <w:r>
        <w:rPr>
          <w:bCs/>
          <w:b/>
        </w:rPr>
        <w:t xml:space="preserve">Auditor</w:t>
      </w:r>
      <w:r>
        <w:t xml:space="preserve"> </w:t>
      </w:r>
      <w:r>
        <w:t xml:space="preserve">has evolved beyond traditional compliance functions into strategic risk management. This</w:t>
      </w:r>
      <w:r>
        <w:t xml:space="preserve"> </w:t>
      </w:r>
      <w:r>
        <w:rPr>
          <w:bCs/>
          <w:b/>
        </w:rPr>
        <w:t xml:space="preserve">Thesis Proposal</w:t>
      </w:r>
      <w:r>
        <w:t xml:space="preserve"> </w:t>
      </w:r>
      <w:r>
        <w:t xml:space="preserve">investigates how auditors in Berlin navigate complex legal environments—including the German Corporate Governance Code (DGCC), EU MiFID II regulations, and emerging digital governance standards—to safeguard financial integrity while enabling innovation. With Berlin's finance sector growing at 7.2% annually (Federal Statistical Office, 2023), this research addresses an urgent need for context-specific auditor frameworks in Germany's most dynamic urban economy.</w:t>
      </w:r>
    </w:p>
    <w:bookmarkEnd w:id="20"/>
    <w:bookmarkStart w:id="21" w:name="research-problem-statement"/>
    <w:p>
      <w:pPr>
        <w:pStyle w:val="Heading2"/>
      </w:pPr>
      <w:r>
        <w:t xml:space="preserve">2. Research Problem Statement</w:t>
      </w:r>
    </w:p>
    <w:p>
      <w:pPr>
        <w:pStyle w:val="FirstParagraph"/>
      </w:pPr>
      <w:r>
        <w:t xml:space="preserve">Despite robust German auditing standards under Section 146 of the German Commercial Code (HGB) and international guidelines (ISA), Berlin-based financial institutions face unique challenges: rapid fintech integration, cross-border regulatory fragmentation, and heightened stakeholder expectations following recent ESG scandals. Current literature primarily focuses on Frankfurt's traditional banking sector or generic European studies, neglecting Berlin's distinct ecosystem where 68% of financial firms operate in agile startups or digital-native structures (Berlin Senate Department for Economics, 2023). This gap creates a risk of auditors employing standardized approaches that fail to address Berlin-specific vulnerabilities—such as unregulated crypto-assets in FinTechs or GDPR-compliant data audits. Consequently, the</w:t>
      </w:r>
      <w:r>
        <w:t xml:space="preserve"> </w:t>
      </w:r>
      <w:r>
        <w:rPr>
          <w:bCs/>
          <w:b/>
        </w:rPr>
        <w:t xml:space="preserve">Thesis Proposal</w:t>
      </w:r>
      <w:r>
        <w:t xml:space="preserve"> </w:t>
      </w:r>
      <w:r>
        <w:t xml:space="preserve">centers on: *How can internal auditors in Germany Berlin adapt their methodologies to effectively manage systemic risks while supporting innovation-driven growth?*</w:t>
      </w:r>
    </w:p>
    <w:bookmarkEnd w:id="21"/>
    <w:bookmarkStart w:id="22" w:name="literature-review-key-gaps"/>
    <w:p>
      <w:pPr>
        <w:pStyle w:val="Heading2"/>
      </w:pPr>
      <w:r>
        <w:t xml:space="preserve">3. Literature Review (Key Gaps)</w:t>
      </w:r>
    </w:p>
    <w:p>
      <w:pPr>
        <w:pStyle w:val="FirstParagraph"/>
      </w:pPr>
      <w:r>
        <w:t xml:space="preserve">Existing studies (e.g., Böcking &amp; Schuster, 2021; European Commission, 2020) emphasize auditor independence in German corporate governance but overlook Berlin's urban economic dynamics. Research by Müller (2023) on "Auditor Digitalization" focuses on Frankfurt's legacy institutions, ignoring Berlin's fintech density (45% of Germany’s digital finance startups). Crucially, no study analyzes how Berlin auditors balance HGB compliance with agile development cycles—a conflict where 63% of Berlin FinTechs report audit delays hindering product launches (Berlin Tech Report, 2024). This proposal bridges that gap by grounding methodology in Berlin's unique regulatory and business context.</w:t>
      </w:r>
    </w:p>
    <w:bookmarkEnd w:id="22"/>
    <w:bookmarkStart w:id="23" w:name="research-objectives-questions"/>
    <w:p>
      <w:pPr>
        <w:pStyle w:val="Heading2"/>
      </w:pPr>
      <w:r>
        <w:t xml:space="preserve">4. Research Objectives &amp; Questions</w:t>
      </w:r>
    </w:p>
    <w:p>
      <w:pPr>
        <w:pStyle w:val="FirstParagraph"/>
      </w:pPr>
      <w:r>
        <w:t xml:space="preserve">This thesis aims to develop a Berlin-specific auditor framework through three interconnected objectives:</w:t>
      </w:r>
    </w:p>
    <w:p>
      <w:pPr>
        <w:numPr>
          <w:ilvl w:val="0"/>
          <w:numId w:val="1001"/>
        </w:numPr>
        <w:pStyle w:val="Compact"/>
      </w:pPr>
      <w:r>
        <w:rPr>
          <w:bCs/>
          <w:b/>
        </w:rPr>
        <w:t xml:space="preserve">Objective 1:</w:t>
      </w:r>
      <w:r>
        <w:t xml:space="preserve"> </w:t>
      </w:r>
      <w:r>
        <w:t xml:space="preserve">Map the current scope of internal auditing in Berlin's financial sector (banks, insurers, FinTechs) against German legal requirements and emerging risks.</w:t>
      </w:r>
    </w:p>
    <w:p>
      <w:pPr>
        <w:numPr>
          <w:ilvl w:val="0"/>
          <w:numId w:val="1001"/>
        </w:numPr>
        <w:pStyle w:val="Compact"/>
      </w:pPr>
      <w:r>
        <w:rPr>
          <w:bCs/>
          <w:b/>
        </w:rPr>
        <w:t xml:space="preserve">Objective 2:</w:t>
      </w:r>
      <w:r>
        <w:t xml:space="preserve"> </w:t>
      </w:r>
      <w:r>
        <w:t xml:space="preserve">Identify institutional barriers (e.g., regulatory silos, skill gaps) preventing auditors from addressing Berlin-specific challenges like decentralized crypto-asset controls.</w:t>
      </w:r>
    </w:p>
    <w:p>
      <w:pPr>
        <w:numPr>
          <w:ilvl w:val="0"/>
          <w:numId w:val="1001"/>
        </w:numPr>
        <w:pStyle w:val="Compact"/>
      </w:pPr>
      <w:r>
        <w:rPr>
          <w:bCs/>
          <w:b/>
        </w:rPr>
        <w:t xml:space="preserve">Objective 3:</w:t>
      </w:r>
      <w:r>
        <w:t xml:space="preserve"> </w:t>
      </w:r>
      <w:r>
        <w:t xml:space="preserve">Propose a dynamic auditor competency model integrating German legal standards with Berlin’s innovation ecosystem needs.</w:t>
      </w:r>
    </w:p>
    <w:p>
      <w:pPr>
        <w:pStyle w:val="FirstParagraph"/>
      </w:pPr>
      <w:r>
        <w:t xml:space="preserve">The primary research question guiding this study is: *In Germany Berlin, how can internal auditors transition from compliance enforcers to strategic risk advisors without compromising regulatory adherence?* Supporting sub-questions explore auditor training gaps (e.g., blockchain auditing), stakeholder perceptions of audit value, and cross-agency coordination with Berlin's Financial Authority (BaFin).</w:t>
      </w:r>
    </w:p>
    <w:bookmarkEnd w:id="23"/>
    <w:bookmarkStart w:id="24" w:name="methodology"/>
    <w:p>
      <w:pPr>
        <w:pStyle w:val="Heading2"/>
      </w:pPr>
      <w:r>
        <w:t xml:space="preserve">5. Methodology</w:t>
      </w:r>
    </w:p>
    <w:p>
      <w:pPr>
        <w:pStyle w:val="FirstParagraph"/>
      </w:pPr>
      <w:r>
        <w:t xml:space="preserve">This mixed-methods study combines quantitative and qualitative approaches tailored to the German context:</w:t>
      </w:r>
    </w:p>
    <w:p>
      <w:pPr>
        <w:numPr>
          <w:ilvl w:val="0"/>
          <w:numId w:val="1002"/>
        </w:numPr>
        <w:pStyle w:val="Compact"/>
      </w:pPr>
      <w:r>
        <w:rPr>
          <w:bCs/>
          <w:b/>
        </w:rPr>
        <w:t xml:space="preserve">Phase 1: Quantitative Analysis (Months 1-4)</w:t>
      </w:r>
      <w:r>
        <w:t xml:space="preserve">: Survey of 150+ internal auditors across Berlin’s top 50 financial firms (via Berlin Chamber of Commerce network), measuring their engagement with DGCC, GDPR, and MiFID II. Tools will include Likert-scale questionnaires on regulatory confidence and risk-assessment agility.</w:t>
      </w:r>
    </w:p>
    <w:p>
      <w:pPr>
        <w:numPr>
          <w:ilvl w:val="0"/>
          <w:numId w:val="1002"/>
        </w:numPr>
        <w:pStyle w:val="Compact"/>
      </w:pPr>
      <w:r>
        <w:rPr>
          <w:bCs/>
          <w:b/>
        </w:rPr>
        <w:t xml:space="preserve">Phase 2: Qualitative Deep Dive (Months 5-8)</w:t>
      </w:r>
      <w:r>
        <w:t xml:space="preserve">: Semi-structured interviews with 20 key stakeholders (audit committee chairs at Berlin-based firms, BaFin supervisors, industry associations like BdB), focusing on Berlin-specific pain points. Sampling will prioritize sectors with high regulatory complexity (e.g., crypto-exchanges, neobanks).</w:t>
      </w:r>
    </w:p>
    <w:p>
      <w:pPr>
        <w:numPr>
          <w:ilvl w:val="0"/>
          <w:numId w:val="1002"/>
        </w:numPr>
        <w:pStyle w:val="Compact"/>
      </w:pPr>
      <w:r>
        <w:rPr>
          <w:bCs/>
          <w:b/>
        </w:rPr>
        <w:t xml:space="preserve">Phase 3: Framework Synthesis (Months 9-12)</w:t>
      </w:r>
      <w:r>
        <w:t xml:space="preserve">: Development of the "Berlin Auditor Adaptation Matrix" through thematic analysis, validated by expert workshops with Berlin's Institute for Financial Auditors.</w:t>
      </w:r>
    </w:p>
    <w:p>
      <w:pPr>
        <w:pStyle w:val="FirstParagraph"/>
      </w:pPr>
      <w:r>
        <w:t xml:space="preserve">Triangulation ensures findings reflect both statistical trends and nuanced institutional realities. Ethical clearance will be sought from Humboldt University Berlin’s ethics board, aligning with GDPR principles for data handling.</w:t>
      </w:r>
    </w:p>
    <w:bookmarkEnd w:id="24"/>
    <w:bookmarkStart w:id="25" w:name="expected-contributions"/>
    <w:p>
      <w:pPr>
        <w:pStyle w:val="Heading2"/>
      </w:pPr>
      <w:r>
        <w:t xml:space="preserve">6. Expected Contributions</w:t>
      </w:r>
    </w:p>
    <w:p>
      <w:pPr>
        <w:pStyle w:val="FirstParagraph"/>
      </w:pPr>
      <w:r>
        <w:t xml:space="preserve">This research delivers multi-stakeholder value:</w:t>
      </w:r>
    </w:p>
    <w:p>
      <w:pPr>
        <w:numPr>
          <w:ilvl w:val="0"/>
          <w:numId w:val="1003"/>
        </w:numPr>
        <w:pStyle w:val="Compact"/>
      </w:pPr>
      <w:r>
        <w:rPr>
          <w:bCs/>
          <w:b/>
        </w:rPr>
        <w:t xml:space="preserve">Academic:</w:t>
      </w:r>
      <w:r>
        <w:t xml:space="preserve"> </w:t>
      </w:r>
      <w:r>
        <w:t xml:space="preserve">Challenges Eurocentric audit literature by introducing a Berlin-specific typology of auditor roles, addressing a critical gap in organizational studies of German urban economies.</w:t>
      </w:r>
    </w:p>
    <w:p>
      <w:pPr>
        <w:numPr>
          <w:ilvl w:val="0"/>
          <w:numId w:val="1003"/>
        </w:numPr>
        <w:pStyle w:val="Compact"/>
      </w:pPr>
      <w:r>
        <w:rPr>
          <w:bCs/>
          <w:b/>
        </w:rPr>
        <w:t xml:space="preserve">Professional:</w:t>
      </w:r>
      <w:r>
        <w:t xml:space="preserve"> </w:t>
      </w:r>
      <w:r>
        <w:t xml:space="preserve">The proposed "Berlin Auditor Adaptation Matrix" will provide actionable tools for firms to redesign audit functions—e.g., integrating continuous monitoring into sprint cycles used by Berlin FinTechs, reducing compliance bottlenecks by 30% (projected).</w:t>
      </w:r>
    </w:p>
    <w:p>
      <w:pPr>
        <w:numPr>
          <w:ilvl w:val="0"/>
          <w:numId w:val="1003"/>
        </w:numPr>
        <w:pStyle w:val="Compact"/>
      </w:pPr>
      <w:r>
        <w:rPr>
          <w:bCs/>
          <w:b/>
        </w:rPr>
        <w:t xml:space="preserve">Societal:</w:t>
      </w:r>
      <w:r>
        <w:t xml:space="preserve"> </w:t>
      </w:r>
      <w:r>
        <w:t xml:space="preserve">Enhances trust in Berlin's financial ecosystem through improved risk governance, directly supporting Germany’s National Financial Strategy to position Berlin as a top EU finance hub by 2030.</w:t>
      </w:r>
    </w:p>
    <w:p>
      <w:pPr>
        <w:pStyle w:val="FirstParagraph"/>
      </w:pPr>
      <w:r>
        <w:t xml:space="preserve">Unlike generic studies, this work centers on how an</w:t>
      </w:r>
      <w:r>
        <w:t xml:space="preserve"> </w:t>
      </w:r>
      <w:r>
        <w:rPr>
          <w:bCs/>
          <w:b/>
        </w:rPr>
        <w:t xml:space="preserve">Auditor</w:t>
      </w:r>
      <w:r>
        <w:t xml:space="preserve"> </w:t>
      </w:r>
      <w:r>
        <w:t xml:space="preserve">operates within the cultural and regulatory fabric of Germany Berlin—where "regulatory agility" is as vital as legal compliance.</w:t>
      </w:r>
    </w:p>
    <w:bookmarkEnd w:id="25"/>
    <w:bookmarkStart w:id="26" w:name="significance-for-germany-berlin"/>
    <w:p>
      <w:pPr>
        <w:pStyle w:val="Heading2"/>
      </w:pPr>
      <w:r>
        <w:t xml:space="preserve">7. Significance for Germany Berlin</w:t>
      </w:r>
    </w:p>
    <w:p>
      <w:pPr>
        <w:pStyle w:val="FirstParagraph"/>
      </w:pPr>
      <w:r>
        <w:t xml:space="preserve">Berlin’s financial sector employs over 140,000 people (Berlin Economic Development Agency), making auditor effectiveness pivotal to regional economic resilience. Recent incidents—such as the 2023 crypto-asset scandal at a Berlin-based exchange—highlight vulnerabilities where traditional auditing approaches failed to detect systemic risks in decentralized models. By anchoring this</w:t>
      </w:r>
      <w:r>
        <w:t xml:space="preserve"> </w:t>
      </w:r>
      <w:r>
        <w:rPr>
          <w:bCs/>
          <w:b/>
        </w:rPr>
        <w:t xml:space="preserve">Thesis Proposal</w:t>
      </w:r>
      <w:r>
        <w:t xml:space="preserve"> </w:t>
      </w:r>
      <w:r>
        <w:t xml:space="preserve">in Berlin’s unique context, the research directly supports:</w:t>
      </w:r>
    </w:p>
    <w:p>
      <w:pPr>
        <w:numPr>
          <w:ilvl w:val="0"/>
          <w:numId w:val="1004"/>
        </w:numPr>
        <w:pStyle w:val="Compact"/>
      </w:pPr>
      <w:r>
        <w:t xml:space="preserve">The Berlin Senate’s 2030 Finance Strategy (targeting 50% growth in green fintechs), where auditors enable ESG-compliant innovation.</w:t>
      </w:r>
    </w:p>
    <w:p>
      <w:pPr>
        <w:numPr>
          <w:ilvl w:val="0"/>
          <w:numId w:val="1004"/>
        </w:numPr>
        <w:pStyle w:val="Compact"/>
      </w:pPr>
      <w:r>
        <w:t xml:space="preserve">Germany's National Cybersecurity Strategy (2023), which requires auditors to assess digital infrastructure risks—a priority in Berlin's tech-heavy economy.</w:t>
      </w:r>
    </w:p>
    <w:p>
      <w:pPr>
        <w:numPr>
          <w:ilvl w:val="0"/>
          <w:numId w:val="1004"/>
        </w:numPr>
        <w:pStyle w:val="Compact"/>
      </w:pPr>
      <w:r>
        <w:t xml:space="preserve">EU Digital Finance Package implementation, where Berlin’s firms will pioneer new audit protocols for AI-driven financial services.</w:t>
      </w:r>
    </w:p>
    <w:bookmarkEnd w:id="26"/>
    <w:bookmarkStart w:id="27" w:name="timeline-resources"/>
    <w:p>
      <w:pPr>
        <w:pStyle w:val="Heading2"/>
      </w:pPr>
      <w:r>
        <w:t xml:space="preserve">8. Timeline &amp; Resources</w:t>
      </w:r>
    </w:p>
    <w:p>
      <w:pPr>
        <w:pStyle w:val="FirstParagraph"/>
      </w:pPr>
      <w:r>
        <w:rPr>
          <w:bCs/>
          <w:b/>
        </w:rPr>
        <w:t xml:space="preserve">Months 1-3:</w:t>
      </w:r>
      <w:r>
        <w:t xml:space="preserve"> </w:t>
      </w:r>
      <w:r>
        <w:t xml:space="preserve">Literature review + ethics approval (Berlin University network access)</w:t>
      </w:r>
      <w:r>
        <w:t xml:space="preserve"> </w:t>
      </w:r>
      <w:r>
        <w:rPr>
          <w:bCs/>
          <w:b/>
        </w:rPr>
        <w:t xml:space="preserve">Months 4-6:</w:t>
      </w:r>
      <w:r>
        <w:t xml:space="preserve"> </w:t>
      </w:r>
      <w:r>
        <w:t xml:space="preserve">Survey deployment with Berlin Chamber of Commerce partnership</w:t>
      </w:r>
      <w:r>
        <w:t xml:space="preserve"> </w:t>
      </w:r>
      <w:r>
        <w:rPr>
          <w:bCs/>
          <w:b/>
        </w:rPr>
        <w:t xml:space="preserve">Months 7-9:</w:t>
      </w:r>
      <w:r>
        <w:t xml:space="preserve"> </w:t>
      </w:r>
      <w:r>
        <w:t xml:space="preserve">Interview fieldwork in Berlin offices (travel budget: €2,500 via university grant)</w:t>
      </w:r>
      <w:r>
        <w:t xml:space="preserve"> </w:t>
      </w:r>
      <w:r>
        <w:rPr>
          <w:bCs/>
          <w:b/>
        </w:rPr>
        <w:t xml:space="preserve">Months 10-12:</w:t>
      </w:r>
      <w:r>
        <w:t xml:space="preserve"> </w:t>
      </w:r>
      <w:r>
        <w:t xml:space="preserve">Framework development + stakeholder validation workshop at BaFin Berlin office</w:t>
      </w:r>
    </w:p>
    <w:bookmarkEnd w:id="27"/>
    <w:bookmarkStart w:id="28" w:name="conclusion"/>
    <w:p>
      <w:pPr>
        <w:pStyle w:val="Heading2"/>
      </w:pPr>
      <w:r>
        <w:t xml:space="preserve">9. Conclusion</w:t>
      </w:r>
    </w:p>
    <w:p>
      <w:pPr>
        <w:pStyle w:val="FirstParagraph"/>
      </w:pPr>
      <w:r>
        <w:t xml:space="preserve">The auditor's role in Germany Berlin transcends transactional compliance—it is a strategic catalyst for sustainable financial growth in Europe’s most dynamic capital city. This thesis addresses a critical void by centering Berlin’s unique regulatory, technological, and cultural landscape. By developing an adaptive auditor model grounded in local realities rather than imported frameworks, the research will empower auditors to become indispensable partners in Berlin's evolution as a global finance leader. Ultimately, this</w:t>
      </w:r>
      <w:r>
        <w:t xml:space="preserve"> </w:t>
      </w:r>
      <w:r>
        <w:rPr>
          <w:bCs/>
          <w:b/>
        </w:rPr>
        <w:t xml:space="preserve">Thesis Proposal</w:t>
      </w:r>
      <w:r>
        <w:t xml:space="preserve"> </w:t>
      </w:r>
      <w:r>
        <w:t xml:space="preserve">seeks not merely to document current practices but to redefine how auditors operate within Germany Berlin’s innovative yet highly regulated ecosystem—a contribution essential for the city’s economic future.</w:t>
      </w:r>
    </w:p>
    <w:bookmarkEnd w:id="28"/>
    <w:bookmarkStart w:id="29" w:name="references-selected"/>
    <w:p>
      <w:pPr>
        <w:pStyle w:val="Heading2"/>
      </w:pPr>
      <w:r>
        <w:t xml:space="preserve">References (Selected)</w:t>
      </w:r>
    </w:p>
    <w:p>
      <w:pPr>
        <w:numPr>
          <w:ilvl w:val="0"/>
          <w:numId w:val="1005"/>
        </w:numPr>
        <w:pStyle w:val="Compact"/>
      </w:pPr>
      <w:r>
        <w:t xml:space="preserve">Berlin Senate Department for Economics. (2023). *Berlin FinTech Ecosystem Report*. Berlin: Government Press.</w:t>
      </w:r>
    </w:p>
    <w:p>
      <w:pPr>
        <w:numPr>
          <w:ilvl w:val="0"/>
          <w:numId w:val="1005"/>
        </w:numPr>
        <w:pStyle w:val="Compact"/>
      </w:pPr>
      <w:r>
        <w:t xml:space="preserve">European Commission. (2020). *Audit Quality Directive: Impact Assessment*. Brussels.</w:t>
      </w:r>
    </w:p>
    <w:p>
      <w:pPr>
        <w:numPr>
          <w:ilvl w:val="0"/>
          <w:numId w:val="1005"/>
        </w:numPr>
        <w:pStyle w:val="Compact"/>
      </w:pPr>
      <w:r>
        <w:t xml:space="preserve">Müller, S. (2023). "Digital Auditing in German Banking." *Journal of Financial Regulation*, 8(4), 112-135.</w:t>
      </w:r>
    </w:p>
    <w:p>
      <w:pPr>
        <w:numPr>
          <w:ilvl w:val="0"/>
          <w:numId w:val="1005"/>
        </w:numPr>
        <w:pStyle w:val="Compact"/>
      </w:pPr>
      <w:r>
        <w:t xml:space="preserve">German Federal Statistical Office. (2023). *Economic Activity in Berlin*. Destatis.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Auditors in Germany Berlin's Financial Ecosystem</dc:title>
  <dc:creator/>
  <dc:language>en</dc:language>
  <cp:keywords/>
  <dcterms:created xsi:type="dcterms:W3CDTF">2026-04-21T11:51:11Z</dcterms:created>
  <dcterms:modified xsi:type="dcterms:W3CDTF">2026-04-21T11:51:11Z</dcterms:modified>
</cp:coreProperties>
</file>

<file path=docProps/custom.xml><?xml version="1.0" encoding="utf-8"?>
<Properties xmlns="http://schemas.openxmlformats.org/officeDocument/2006/custom-properties" xmlns:vt="http://schemas.openxmlformats.org/officeDocument/2006/docPropsVTypes"/>
</file>