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0c270a0648f62b6298f41b2e5485896e7405c5b"/>
    <w:p>
      <w:pPr>
        <w:pStyle w:val="Heading1"/>
      </w:pPr>
      <w:r>
        <w:t xml:space="preserve">Thesis Proposal: The Evolving Role of the Auditor in Germany Frankfurt's Financial Ecosystem</w:t>
      </w:r>
    </w:p>
    <w:bookmarkStart w:id="20" w:name="abstract"/>
    <w:p>
      <w:pPr>
        <w:pStyle w:val="Heading2"/>
      </w:pPr>
      <w:r>
        <w:t xml:space="preserve">Abstract</w:t>
      </w:r>
    </w:p>
    <w:p>
      <w:pPr>
        <w:pStyle w:val="FirstParagraph"/>
      </w:pPr>
      <w:r>
        <w:t xml:space="preserve">This Thesis Proposal outlines a rigorous investigation into the contemporary responsibilities, challenges, and future trajectory of the</w:t>
      </w:r>
      <w:r>
        <w:t xml:space="preserve"> </w:t>
      </w:r>
      <w:r>
        <w:rPr>
          <w:bCs/>
          <w:b/>
        </w:rPr>
        <w:t xml:space="preserve">Auditor</w:t>
      </w:r>
      <w:r>
        <w:t xml:space="preserve"> </w:t>
      </w:r>
      <w:r>
        <w:t xml:space="preserve">within the unique regulatory and economic landscape of</w:t>
      </w:r>
      <w:r>
        <w:t xml:space="preserve"> </w:t>
      </w:r>
      <w:r>
        <w:rPr>
          <w:bCs/>
          <w:b/>
        </w:rPr>
        <w:t xml:space="preserve">Germany Frankfurt</w:t>
      </w:r>
      <w:r>
        <w:t xml:space="preserve">. As Europe's primary financial hub, Frankfurt hosts major institutions like the European Central Bank (ECB), Deutsche Börse AG, and headquarters of leading multinational banks and asset managers. This study addresses a critical gap: how German auditors navigate complex local regulations (particularly HGB - Handelsgesetzbuch) alongside evolving EU directives while maintaining independence and credibility in Frankfurt's high-stakes market. The research proposes a framework for enhancing auditor effectiveness, directly contributing to the integrity of Germany's financial system centered in Frankfurt. This work is essential for academic discourse and practical application by practitioners operating within</w:t>
      </w:r>
      <w:r>
        <w:t xml:space="preserve"> </w:t>
      </w:r>
      <w:r>
        <w:rPr>
          <w:bCs/>
          <w:b/>
        </w:rPr>
        <w:t xml:space="preserve">Germany Frankfurt</w:t>
      </w:r>
      <w:r>
        <w:t xml:space="preserve">'s sophisticated financial infrastructure.</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the undisputed financial capital of Germany and a pivotal node in the European Union's economic architecture. Home to the ECB, significant stock exchanges, major clearinghouses, and countless financial service firms (including top-tier audit firms), Frankfurt operates under a dense regulatory framework. The role of the</w:t>
      </w:r>
      <w:r>
        <w:t xml:space="preserve"> </w:t>
      </w:r>
      <w:r>
        <w:rPr>
          <w:bCs/>
          <w:b/>
        </w:rPr>
        <w:t xml:space="preserve">Auditor</w:t>
      </w:r>
      <w:r>
        <w:t xml:space="preserve"> </w:t>
      </w:r>
      <w:r>
        <w:t xml:space="preserve">here transcends mere compliance; it is fundamental to market confidence, capital formation, and systemic stability within</w:t>
      </w:r>
      <w:r>
        <w:t xml:space="preserve"> </w:t>
      </w:r>
      <w:r>
        <w:rPr>
          <w:bCs/>
          <w:b/>
        </w:rPr>
        <w:t xml:space="preserve">Germany Frankfurt</w:t>
      </w:r>
      <w:r>
        <w:t xml:space="preserve">. Recent global financial scandals, evolving EU sustainability reporting mandates (CSRD), and heightened scrutiny from ESMA (European Securities and Markets Authority) underscore the critical need for this research. This Thesis Proposal argues that the specific pressures faced by auditors in Frankfurt – balancing German legal tradition with EU harmonization, managing complex multinational client portfolios, and adapting to digital transformation – demand focused scholarly attention beyond generic audit studies.</w:t>
      </w:r>
    </w:p>
    <w:bookmarkEnd w:id="21"/>
    <w:bookmarkStart w:id="22" w:name="problem-statement"/>
    <w:p>
      <w:pPr>
        <w:pStyle w:val="Heading2"/>
      </w:pPr>
      <w:r>
        <w:t xml:space="preserve">2. Problem Statement</w:t>
      </w:r>
    </w:p>
    <w:p>
      <w:pPr>
        <w:pStyle w:val="FirstParagraph"/>
      </w:pPr>
      <w:r>
        <w:t xml:space="preserve">Despite the central role of auditors in Frankfurt's financial ecosystem, a significant research gap exists. Existing literature often focuses on broad EU or US contexts, neglecting the nuanced interplay of German-specific legal requirements (HGB vs IFRS), cultural expectations within Germany's corporate governance model, and the unique demands imposed by Frankfurt as a global finance center. Auditors in</w:t>
      </w:r>
      <w:r>
        <w:t xml:space="preserve"> </w:t>
      </w:r>
      <w:r>
        <w:rPr>
          <w:bCs/>
          <w:b/>
        </w:rPr>
        <w:t xml:space="preserve">Germany Frankfurt</w:t>
      </w:r>
      <w:r>
        <w:t xml:space="preserve"> </w:t>
      </w:r>
      <w:r>
        <w:t xml:space="preserve">face increasing pressure to demonstrate not only financial accuracy but also assurance on non-financial metrics like ESG performance, under frameworks like the CSRD. Current practices may not fully equip them for these evolving responsibilities, potentially leading to audit quality variations and diminished market trust. This Thesis Proposal directly addresses this gap by investigating how auditors in Frankfurt are adapting their methodologies, skills, and independence protocols to meet these new challenges while operating within Germany's distinct legal environment.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Germany Frankfurt</w:t>
      </w:r>
      <w:r>
        <w:t xml:space="preserve">:</w:t>
      </w:r>
    </w:p>
    <w:p>
      <w:pPr>
        <w:numPr>
          <w:ilvl w:val="0"/>
          <w:numId w:val="1001"/>
        </w:numPr>
        <w:pStyle w:val="Compact"/>
      </w:pPr>
      <w:r>
        <w:t xml:space="preserve">To comprehensively analyze the current regulatory landscape governing auditors in Germany, with particular focus on its intersection with EU directives (e.g., ISAs, CSRD) as applied in Frankfurt.</w:t>
      </w:r>
    </w:p>
    <w:p>
      <w:pPr>
        <w:numPr>
          <w:ilvl w:val="0"/>
          <w:numId w:val="1001"/>
        </w:numPr>
        <w:pStyle w:val="Compact"/>
      </w:pPr>
      <w:r>
        <w:t xml:space="preserve">To identify the specific challenges faced by practicing auditors within Frankfurt-based firms (including Big Four and national firms) when auditing complex financial institutions and multinational corporations headquartered or operating significantly in Germany Frankfurt.</w:t>
      </w:r>
    </w:p>
    <w:p>
      <w:pPr>
        <w:numPr>
          <w:ilvl w:val="0"/>
          <w:numId w:val="1001"/>
        </w:numPr>
        <w:pStyle w:val="Compact"/>
      </w:pPr>
      <w:r>
        <w:t xml:space="preserve">To assess the evolving skill sets required of the modern auditor in this environment, particularly concerning data analytics, sustainability reporting assurance, and cross-cultural communication within the German context.</w:t>
      </w:r>
    </w:p>
    <w:p>
      <w:pPr>
        <w:numPr>
          <w:ilvl w:val="0"/>
          <w:numId w:val="1001"/>
        </w:numPr>
        <w:pStyle w:val="Compact"/>
      </w:pPr>
      <w:r>
        <w:t xml:space="preserve">To develop a practical framework for enhancing audit quality and effectiveness specifically tailored to the demands of auditing within Germany's financial hub (Frankfurt), emphasizing independence and stakeholder value.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key scholarly work on auditor independence, regulatory compliance in German corporate law, the impact of EU directives on audit practices, and the emerging field of sustainability assurance. It will specifically examine studies concerning Frankfurt's financial infrastructure (e.g., ECB supervision frameworks) and German-specific accounting standards (HGB). The review will highlight how previous research often lacks the granular focus needed for the</w:t>
      </w:r>
      <w:r>
        <w:t xml:space="preserve"> </w:t>
      </w:r>
      <w:r>
        <w:rPr>
          <w:bCs/>
          <w:b/>
        </w:rPr>
        <w:t xml:space="preserve">Germany Frankfurt</w:t>
      </w:r>
      <w:r>
        <w:t xml:space="preserve"> </w:t>
      </w:r>
      <w:r>
        <w:t xml:space="preserve">context, particularly regarding the practical implementation challenges faced by auditors on the ground. This Thesis Proposal positions itself to fill this void by grounding theory in Frankfurt's unique operational reality.</w:t>
      </w:r>
    </w:p>
    <w:bookmarkEnd w:id="24"/>
    <w:bookmarkStart w:id="25" w:name="methodology"/>
    <w:p>
      <w:pPr>
        <w:pStyle w:val="Heading2"/>
      </w:pPr>
      <w:r>
        <w:t xml:space="preserve">5. Methodology</w:t>
      </w:r>
    </w:p>
    <w:p>
      <w:pPr>
        <w:pStyle w:val="FirstParagraph"/>
      </w:pPr>
      <w:r>
        <w:t xml:space="preserve">A mixed-methods approach is proposed for robust validity:</w:t>
      </w:r>
    </w:p>
    <w:p>
      <w:pPr>
        <w:numPr>
          <w:ilvl w:val="0"/>
          <w:numId w:val="1002"/>
        </w:numPr>
        <w:pStyle w:val="Compact"/>
      </w:pPr>
      <w:r>
        <w:rPr>
          <w:bCs/>
          <w:b/>
        </w:rPr>
        <w:t xml:space="preserve">Qualitative Case Studies:</w:t>
      </w:r>
      <w:r>
        <w:t xml:space="preserve"> </w:t>
      </w:r>
      <w:r>
        <w:t xml:space="preserve">In-depth interviews (15-20) with senior auditors, audit committee members, and regulators (e.g., from BAFIN - Federal Financial Supervisory Authority) based in Frankfurt. This will provide rich insights into real-world challenges and adaptive strategies within</w:t>
      </w:r>
      <w:r>
        <w:t xml:space="preserve"> </w:t>
      </w:r>
      <w:r>
        <w:rPr>
          <w:bCs/>
          <w:b/>
        </w:rPr>
        <w:t xml:space="preserve">Germany Frankfurt</w:t>
      </w:r>
      <w:r>
        <w:t xml:space="preserve">.</w:t>
      </w:r>
    </w:p>
    <w:p>
      <w:pPr>
        <w:numPr>
          <w:ilvl w:val="0"/>
          <w:numId w:val="1002"/>
        </w:numPr>
        <w:pStyle w:val="Compact"/>
      </w:pPr>
      <w:r>
        <w:rPr>
          <w:bCs/>
          <w:b/>
        </w:rPr>
        <w:t xml:space="preserve">Semi-Structured Surveys:</w:t>
      </w:r>
      <w:r>
        <w:t xml:space="preserve"> </w:t>
      </w:r>
      <w:r>
        <w:t xml:space="preserve">Online survey distributed to a wider sample of auditors (100+) practicing in Frankfurt-based audit firms, measuring perceptions of regulatory complexity, skill adequacy, and quality pressures.</w:t>
      </w:r>
    </w:p>
    <w:p>
      <w:pPr>
        <w:numPr>
          <w:ilvl w:val="0"/>
          <w:numId w:val="1002"/>
        </w:numPr>
        <w:pStyle w:val="Compact"/>
      </w:pPr>
      <w:r>
        <w:rPr>
          <w:bCs/>
          <w:b/>
        </w:rPr>
        <w:t xml:space="preserve">Document Analysis:</w:t>
      </w:r>
      <w:r>
        <w:t xml:space="preserve"> </w:t>
      </w:r>
      <w:r>
        <w:t xml:space="preserve">Systematic analysis of relevant German legal documents (HGB provisions), EU regulations (CSRD, Audit Directive), and published reports from key Frankfurt institutions (ECB, Deutsche Börse).</w:t>
      </w:r>
    </w:p>
    <w:p>
      <w:pPr>
        <w:pStyle w:val="FirstParagraph"/>
      </w:pPr>
      <w:r>
        <w:t xml:space="preserve">Data will be analyzed thematically for qualitative data and using descriptive/analytical statistics for survey responses. Ethical approval will be sought through the host university's ethics committee.</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understanding of auditor role evolution within a specific national (German) and supranational (EU) regulatory context, enriching audit theory with empirical data from Frankfurt.</w:t>
      </w:r>
    </w:p>
    <w:p>
      <w:pPr>
        <w:numPr>
          <w:ilvl w:val="0"/>
          <w:numId w:val="1003"/>
        </w:numPr>
        <w:pStyle w:val="Compact"/>
      </w:pPr>
      <w:r>
        <w:rPr>
          <w:bCs/>
          <w:b/>
        </w:rPr>
        <w:t xml:space="preserve">Practical:</w:t>
      </w:r>
      <w:r>
        <w:t xml:space="preserve"> </w:t>
      </w:r>
      <w:r>
        <w:t xml:space="preserve">Provides actionable insights for auditors, audit firms, and regulators in</w:t>
      </w:r>
      <w:r>
        <w:t xml:space="preserve"> </w:t>
      </w:r>
      <w:r>
        <w:rPr>
          <w:bCs/>
          <w:b/>
        </w:rPr>
        <w:t xml:space="preserve">Germany Frankfurt</w:t>
      </w:r>
      <w:r>
        <w:t xml:space="preserve">, directly informing training programs, quality control systems, and potentially regulatory recommendations. The proposed framework will be a tangible resource.</w:t>
      </w:r>
    </w:p>
    <w:p>
      <w:pPr>
        <w:numPr>
          <w:ilvl w:val="0"/>
          <w:numId w:val="1003"/>
        </w:numPr>
        <w:pStyle w:val="Compact"/>
      </w:pPr>
      <w:r>
        <w:rPr>
          <w:bCs/>
          <w:b/>
        </w:rPr>
        <w:t xml:space="preserve">Ethical &amp; Societal:</w:t>
      </w:r>
      <w:r>
        <w:t xml:space="preserve"> </w:t>
      </w:r>
      <w:r>
        <w:t xml:space="preserve">Strengthens the credibility of financial reporting in Germany's most critical financial center, ultimately supporting market integrity, investor protection, and sustainable economic development within Frankfurt and the broader EU.</w:t>
      </w:r>
    </w:p>
    <w:bookmarkEnd w:id="26"/>
    <w:bookmarkStart w:id="27" w:name="timeline"/>
    <w:p>
      <w:pPr>
        <w:pStyle w:val="Heading2"/>
      </w:pPr>
      <w:r>
        <w:t xml:space="preserve">7.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methodology, secure ethics approval, conduct initial literature review deep dive.</w:t>
      </w:r>
    </w:p>
    <w:p>
      <w:pPr>
        <w:numPr>
          <w:ilvl w:val="0"/>
          <w:numId w:val="1004"/>
        </w:numPr>
        <w:pStyle w:val="Compact"/>
      </w:pPr>
      <w:r>
        <w:rPr>
          <w:bCs/>
          <w:b/>
        </w:rPr>
        <w:t xml:space="preserve">Months 4-7:</w:t>
      </w:r>
      <w:r>
        <w:t xml:space="preserve"> </w:t>
      </w:r>
      <w:r>
        <w:t xml:space="preserve">Conduct interviews and survey distribution; begin data analysis.</w:t>
      </w:r>
    </w:p>
    <w:p>
      <w:pPr>
        <w:numPr>
          <w:ilvl w:val="0"/>
          <w:numId w:val="1004"/>
        </w:numPr>
        <w:pStyle w:val="Compact"/>
      </w:pPr>
      <w:r>
        <w:rPr>
          <w:bCs/>
          <w:b/>
        </w:rPr>
        <w:t xml:space="preserve">Months 8-12:</w:t>
      </w:r>
      <w:r>
        <w:t xml:space="preserve"> </w:t>
      </w:r>
      <w:r>
        <w:t xml:space="preserve">Complete data analysis; draft core findings and framework development.</w:t>
      </w:r>
    </w:p>
    <w:p>
      <w:pPr>
        <w:numPr>
          <w:ilvl w:val="0"/>
          <w:numId w:val="1004"/>
        </w:numPr>
        <w:pStyle w:val="Compact"/>
      </w:pPr>
      <w:r>
        <w:rPr>
          <w:bCs/>
          <w:b/>
        </w:rPr>
        <w:t xml:space="preserve">Months 13-15:</w:t>
      </w:r>
      <w:r>
        <w:t xml:space="preserve"> </w:t>
      </w:r>
      <w:r>
        <w:t xml:space="preserve">Refine thesis, incorporate feedback, prepare final chapters.</w:t>
      </w:r>
    </w:p>
    <w:p>
      <w:pPr>
        <w:numPr>
          <w:ilvl w:val="0"/>
          <w:numId w:val="1004"/>
        </w:numPr>
        <w:pStyle w:val="Compact"/>
      </w:pPr>
      <w:r>
        <w:rPr>
          <w:bCs/>
          <w:b/>
        </w:rPr>
        <w:t xml:space="preserve">Months 16-18:</w:t>
      </w:r>
      <w:r>
        <w:t xml:space="preserve"> </w:t>
      </w:r>
      <w:r>
        <w:t xml:space="preserve">Finalize thesis writing, proofreading, submission for defense.</w:t>
      </w:r>
    </w:p>
    <w:bookmarkEnd w:id="27"/>
    <w:bookmarkStart w:id="28" w:name="conclusion"/>
    <w:p>
      <w:pPr>
        <w:pStyle w:val="Heading2"/>
      </w:pPr>
      <w:r>
        <w:t xml:space="preserve">8. Conclusion</w:t>
      </w:r>
    </w:p>
    <w:p>
      <w:pPr>
        <w:pStyle w:val="FirstParagraph"/>
      </w:pPr>
      <w:r>
        <w:t xml:space="preserve">The role of the auditor in</w:t>
      </w:r>
      <w:r>
        <w:t xml:space="preserve"> </w:t>
      </w:r>
      <w:r>
        <w:rPr>
          <w:bCs/>
          <w:b/>
        </w:rPr>
        <w:t xml:space="preserve">Germany Frankfurt</w:t>
      </w:r>
      <w:r>
        <w:t xml:space="preserve"> </w:t>
      </w:r>
      <w:r>
        <w:t xml:space="preserve">is pivotal yet increasingly complex. This Thesis Proposal establishes a compelling case for dedicated research into how auditors navigate this intricate environment. By focusing squarely on the unique pressures and opportunities within Germany's financial capital, this study will generate valuable knowledge directly relevant to practitioners, regulators, and academia. It moves beyond generic audit discussions to address the specific realities faced by the</w:t>
      </w:r>
      <w:r>
        <w:t xml:space="preserve"> </w:t>
      </w:r>
      <w:r>
        <w:rPr>
          <w:bCs/>
          <w:b/>
        </w:rPr>
        <w:t xml:space="preserve">Auditor</w:t>
      </w:r>
      <w:r>
        <w:t xml:space="preserve"> </w:t>
      </w:r>
      <w:r>
        <w:t xml:space="preserve">operating at the heart of European finance in Frankfurt. The outcome – a tailored framework for enhanced auditor effectiveness – promises tangible benefits for maintaining and strengthening the trust that underpins Germany's financial system centered in Frankfurt. This Thesis Proposal represents a necessary step towards ensuring audit quality keeps pace with the demands of modern finance in</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Germany Frankfurt's Financial Ecosystem</dc:title>
  <dc:creator/>
  <dc:language>en</dc:language>
  <cp:keywords/>
  <dcterms:created xsi:type="dcterms:W3CDTF">2026-05-01T16:19:57Z</dcterms:created>
  <dcterms:modified xsi:type="dcterms:W3CDTF">2026-05-01T16:19:57Z</dcterms:modified>
</cp:coreProperties>
</file>

<file path=docProps/custom.xml><?xml version="1.0" encoding="utf-8"?>
<Properties xmlns="http://schemas.openxmlformats.org/officeDocument/2006/custom-properties" xmlns:vt="http://schemas.openxmlformats.org/officeDocument/2006/docPropsVTypes"/>
</file>