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Germany</w:t>
      </w:r>
      <w:r>
        <w:t xml:space="preserve"> </w:t>
      </w:r>
      <w:r>
        <w:t xml:space="preserve">Munich's</w:t>
      </w:r>
      <w:r>
        <w:t xml:space="preserve"> </w:t>
      </w:r>
      <w:r>
        <w:t xml:space="preserve">Financial</w:t>
      </w:r>
      <w:r>
        <w:t xml:space="preserve"> </w:t>
      </w:r>
      <w:r>
        <w:t xml:space="preserve">Ecosystem</w:t>
      </w:r>
    </w:p>
    <w:bookmarkStart w:id="29" w:name="Xd451b8ebae5051d084134b34399ae969a589baf"/>
    <w:p>
      <w:pPr>
        <w:pStyle w:val="Heading1"/>
      </w:pPr>
      <w:r>
        <w:t xml:space="preserve">Thesis Proposal: The Evolving Role of Auditors in Ensuring Compliance and Trust within Germany Munich's Dynamic Business Environment</w:t>
      </w:r>
    </w:p>
    <w:bookmarkStart w:id="20" w:name="X78b8a44072418bfdf6f99b53f7683defba6a5e5"/>
    <w:p>
      <w:pPr>
        <w:pStyle w:val="Heading2"/>
      </w:pPr>
      <w:r>
        <w:t xml:space="preserve">1. Introduction: Contextualizing the Auditor in Modern Germany Munich</w:t>
      </w:r>
    </w:p>
    <w:p>
      <w:pPr>
        <w:pStyle w:val="FirstParagraph"/>
      </w:pPr>
      <w:r>
        <w:t xml:space="preserve">In the heart of Europe's economic powerhouse, Munich (München) stands as a pivotal hub for multinational corporations, innovative startups, and globally recognized financial institutions. As the capital of Bavaria and home to automotive giants like BMW and Siemens, this city demands exceptional standards of financial transparency and regulatory adherence. The</w:t>
      </w:r>
      <w:r>
        <w:t xml:space="preserve"> </w:t>
      </w:r>
      <w:r>
        <w:rPr>
          <w:bCs/>
          <w:b/>
        </w:rPr>
        <w:t xml:space="preserve">Thesis Proposal</w:t>
      </w:r>
      <w:r>
        <w:t xml:space="preserve"> </w:t>
      </w:r>
      <w:r>
        <w:t xml:space="preserve">presented here investigates the critical role of the</w:t>
      </w:r>
      <w:r>
        <w:t xml:space="preserve"> </w:t>
      </w:r>
      <w:r>
        <w:rPr>
          <w:iCs/>
          <w:i/>
        </w:rPr>
        <w:t xml:space="preserve">Auditor</w:t>
      </w:r>
      <w:r>
        <w:t xml:space="preserve"> </w:t>
      </w:r>
      <w:r>
        <w:t xml:space="preserve">within this complex landscape, focusing specifically on how contemporary auditors navigate Germany's stringent legal framework while fostering trust in Munich's business ecosystem. This research directly addresses a pressing gap: as regulatory requirements intensify under EU directives (e.g., CSRD, GDPR) and digital transformation accelerates, the traditional</w:t>
      </w:r>
      <w:r>
        <w:t xml:space="preserve"> </w:t>
      </w:r>
      <w:r>
        <w:rPr>
          <w:bCs/>
          <w:b/>
        </w:rPr>
        <w:t xml:space="preserve">Auditor</w:t>
      </w:r>
      <w:r>
        <w:t xml:space="preserve"> </w:t>
      </w:r>
      <w:r>
        <w:t xml:space="preserve">profile must evolve to meet unprecedented demands within</w:t>
      </w:r>
      <w:r>
        <w:t xml:space="preserve"> </w:t>
      </w:r>
      <w:r>
        <w:rPr>
          <w:bCs/>
          <w:b/>
        </w:rPr>
        <w:t xml:space="preserve">Germany Munich</w:t>
      </w:r>
      <w:r>
        <w:t xml:space="preserve">'s unique economic context.</w:t>
      </w:r>
    </w:p>
    <w:bookmarkEnd w:id="20"/>
    <w:bookmarkStart w:id="21" w:name="Xe2c77b60e98c12647953250e2e5661c88638e88"/>
    <w:p>
      <w:pPr>
        <w:pStyle w:val="Heading2"/>
      </w:pPr>
      <w:r>
        <w:t xml:space="preserve">2. Problem Statement: The Regulatory Crossroads Facing Auditors in Germany Munich</w:t>
      </w:r>
    </w:p>
    <w:p>
      <w:pPr>
        <w:pStyle w:val="FirstParagraph"/>
      </w:pPr>
      <w:r>
        <w:t xml:space="preserve">Munich's status as a financial center places its auditors at the nexus of multifaceted challenges. German accounting standards (HGB), international frameworks (IFRS), and sector-specific regulations (e.g., for automotive supply chains or fintech) create a layered compliance environment. Recent enforcement actions by Germany's Federal Financial Supervisory Authority (BaFin) reveal critical gaps in auditor effectiveness, particularly concerning ESG reporting accuracy and cybersecurity risk assessment – areas where Munich-based firms face heightened scrutiny. The central problem is this: while the</w:t>
      </w:r>
      <w:r>
        <w:t xml:space="preserve"> </w:t>
      </w:r>
      <w:r>
        <w:rPr>
          <w:bCs/>
          <w:b/>
        </w:rPr>
        <w:t xml:space="preserve">Auditor</w:t>
      </w:r>
      <w:r>
        <w:t xml:space="preserve"> </w:t>
      </w:r>
      <w:r>
        <w:t xml:space="preserve">remains the cornerstone of financial integrity, their traditional methodologies struggle to keep pace with dynamic regulations and digital disruption. This thesis argues that without strategic adaptation, auditors in</w:t>
      </w:r>
      <w:r>
        <w:t xml:space="preserve"> </w:t>
      </w:r>
      <w:r>
        <w:rPr>
          <w:bCs/>
          <w:b/>
        </w:rPr>
        <w:t xml:space="preserve">Germany Munich</w:t>
      </w:r>
      <w:r>
        <w:t xml:space="preserve"> </w:t>
      </w:r>
      <w:r>
        <w:t xml:space="preserve">risk becoming reactive rather than proactive guardians of corporate trust.</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forward-looking framework for the modern auditor in Munich through three primary objectives:</w:t>
      </w:r>
    </w:p>
    <w:p>
      <w:pPr>
        <w:numPr>
          <w:ilvl w:val="0"/>
          <w:numId w:val="1001"/>
        </w:numPr>
        <w:pStyle w:val="Compact"/>
      </w:pPr>
      <w:r>
        <w:t xml:space="preserve">To analyze how Munich-based auditors integrate emerging regulations (CSRD, MiFID II) into audit protocols without compromising efficiency.</w:t>
      </w:r>
    </w:p>
    <w:p>
      <w:pPr>
        <w:numPr>
          <w:ilvl w:val="0"/>
          <w:numId w:val="1001"/>
        </w:numPr>
        <w:pStyle w:val="Compact"/>
      </w:pPr>
      <w:r>
        <w:t xml:space="preserve">To evaluate the impact of digital tools (AI-driven data analytics, blockchain for transaction tracing) on auditor independence and risk assessment in German SMEs and multinationals operating within Munich.</w:t>
      </w:r>
    </w:p>
    <w:p>
      <w:pPr>
        <w:numPr>
          <w:ilvl w:val="0"/>
          <w:numId w:val="1001"/>
        </w:numPr>
        <w:pStyle w:val="Compact"/>
      </w:pPr>
      <w:r>
        <w:t xml:space="preserve">To propose a competency model defining the "Munich-Ready Auditor" – a role transcending compliance to become a strategic business advisor.</w:t>
      </w:r>
    </w:p>
    <w:p>
      <w:pPr>
        <w:pStyle w:val="FirstParagraph"/>
      </w:pPr>
      <w:r>
        <w:t xml:space="preserve">Key research questions guiding this study include:</w:t>
      </w:r>
    </w:p>
    <w:p>
      <w:pPr>
        <w:numPr>
          <w:ilvl w:val="0"/>
          <w:numId w:val="1002"/>
        </w:numPr>
        <w:pStyle w:val="Compact"/>
      </w:pPr>
      <w:r>
        <w:t xml:space="preserve">How do auditors in Munich's corporate sector prioritize emerging regulatory demands amid competing operational pressures?</w:t>
      </w:r>
    </w:p>
    <w:p>
      <w:pPr>
        <w:numPr>
          <w:ilvl w:val="0"/>
          <w:numId w:val="1002"/>
        </w:numPr>
        <w:pStyle w:val="Compact"/>
      </w:pPr>
      <w:r>
        <w:t xml:space="preserve">What specific technological adaptations are most effective for auditors navigating Germany's unique blend of HGB and IFRS?</w:t>
      </w:r>
    </w:p>
    <w:p>
      <w:pPr>
        <w:numPr>
          <w:ilvl w:val="0"/>
          <w:numId w:val="1002"/>
        </w:numPr>
        <w:pStyle w:val="Compact"/>
      </w:pPr>
      <w:r>
        <w:t xml:space="preserve">To what extent does the perception of auditor effectiveness in Munich influence investor confidence compared to other German financial centers like Frankfurt or Berlin?</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extensively covers auditor independence (e.g., DeFond &amp; Zhang, 2014) and digital audit tools (e.g., Ettredge et al., 2019), but rarely contextualizes these within Germany's specific institutional framework or Munich's economic identity. Critical gaps persist in understanding: (a) how German legal culture shapes auditor-client relationships differently than Anglo-Saxon models, and (b) the localized challenges of implementing EU directives across Bavaria's diverse business landscape – from Munich-based tech unicorns to family-owned industrial enterprises. This research directly addresses this void by anchoring analysis in</w:t>
      </w:r>
      <w:r>
        <w:t xml:space="preserve"> </w:t>
      </w:r>
      <w:r>
        <w:rPr>
          <w:bCs/>
          <w:b/>
        </w:rPr>
        <w:t xml:space="preserve">Germany Munich</w:t>
      </w:r>
      <w:r>
        <w:t xml:space="preserve">'s regulatory environment, where cultural norms around corporate governance (e.g., co-determination via works councils) further complicate the auditor's role. The study will synthesize German legal scholarship (e.g., Römer &amp; Schäfer on HGB), EU regulatory studies, and industry reports from the Munich-based Association of Certified Public Accountants (IDW) to build a localized evidence base.</w:t>
      </w:r>
    </w:p>
    <w:bookmarkEnd w:id="23"/>
    <w:bookmarkStart w:id="24" w:name="Xd04eaf5f791a0ecf0a90969dcf2927690f61881"/>
    <w:p>
      <w:pPr>
        <w:pStyle w:val="Heading2"/>
      </w:pPr>
      <w:r>
        <w:t xml:space="preserve">5. Methodology: Mixed-Methods Approach for Munich-Centric Insights</w:t>
      </w:r>
    </w:p>
    <w:p>
      <w:pPr>
        <w:pStyle w:val="FirstParagraph"/>
      </w:pPr>
      <w:r>
        <w:t xml:space="preserve">This</w:t>
      </w:r>
      <w:r>
        <w:t xml:space="preserve"> </w:t>
      </w:r>
      <w:r>
        <w:rPr>
          <w:bCs/>
          <w:b/>
        </w:rPr>
        <w:t xml:space="preserve">Thesis Proposal</w:t>
      </w:r>
      <w:r>
        <w:t xml:space="preserve"> </w:t>
      </w:r>
      <w:r>
        <w:t xml:space="preserve">employs a sequential mixed-methods design tailored to the Munich context:</w:t>
      </w:r>
    </w:p>
    <w:p>
      <w:pPr>
        <w:numPr>
          <w:ilvl w:val="0"/>
          <w:numId w:val="1003"/>
        </w:numPr>
        <w:pStyle w:val="Compact"/>
      </w:pPr>
      <w:r>
        <w:rPr>
          <w:bCs/>
          <w:b/>
        </w:rPr>
        <w:t xml:space="preserve">Phase 1: Qualitative Exploration (3 months)</w:t>
      </w:r>
      <w:r>
        <w:t xml:space="preserve">: In-depth interviews with 25+ professionals from major audit firms (PwC Munich, EY Germany), BaFin regulators, and corporate finance directors at Bavarian HQs. Focus: Documenting real-world challenges in implementing CSRD and cybersecurity audits within Munich's business cluster.</w:t>
      </w:r>
    </w:p>
    <w:p>
      <w:pPr>
        <w:numPr>
          <w:ilvl w:val="0"/>
          <w:numId w:val="1003"/>
        </w:numPr>
        <w:pStyle w:val="Compact"/>
      </w:pPr>
      <w:r>
        <w:rPr>
          <w:bCs/>
          <w:b/>
        </w:rPr>
        <w:t xml:space="preserve">Phase 2: Quantitative Analysis (4 months)</w:t>
      </w:r>
      <w:r>
        <w:t xml:space="preserve">: Survey of 150+ auditors across Munich-based firms, measuring proficiency with digital tools, regulatory stress points, and perceived impact on client trust. Statistical analysis will identify correlations between technological adoption and audit quality metrics.</w:t>
      </w:r>
    </w:p>
    <w:p>
      <w:pPr>
        <w:numPr>
          <w:ilvl w:val="0"/>
          <w:numId w:val="1003"/>
        </w:numPr>
        <w:pStyle w:val="Compact"/>
      </w:pPr>
      <w:r>
        <w:rPr>
          <w:bCs/>
          <w:b/>
        </w:rPr>
        <w:t xml:space="preserve">Phase 3: Case Study Integration (2 months)</w:t>
      </w:r>
      <w:r>
        <w:t xml:space="preserve">: Deep dive into two contrasting Munich entities – a Siemens subsidiary (global manufacturing) and a Munich-based fintech startup – to compare auditor approaches under identical regulatory pressures.</w:t>
      </w:r>
    </w:p>
    <w:p>
      <w:pPr>
        <w:pStyle w:val="FirstParagraph"/>
      </w:pPr>
      <w:r>
        <w:t xml:space="preserve">Data collection will strictly adhere to German data protection laws (DSGVO), with all participants from</w:t>
      </w:r>
      <w:r>
        <w:t xml:space="preserve"> </w:t>
      </w:r>
      <w:r>
        <w:rPr>
          <w:bCs/>
          <w:b/>
        </w:rPr>
        <w:t xml:space="preserve">Germany Munich</w:t>
      </w:r>
      <w:r>
        <w:t xml:space="preserve">'s professional networks. The methodology ensures findings are actionable for local practitioners, not merely theoretical.</w:t>
      </w:r>
    </w:p>
    <w:bookmarkEnd w:id="24"/>
    <w:bookmarkStart w:id="25" w:name="Xc5b8b5f1b1bd53fe463d94532eaefd504fc9726"/>
    <w:p>
      <w:pPr>
        <w:pStyle w:val="Heading2"/>
      </w:pPr>
      <w:r>
        <w:t xml:space="preserve">6. Expected Contributions: Advancing the Auditor's Role in Germany Munich</w:t>
      </w:r>
    </w:p>
    <w:p>
      <w:pPr>
        <w:pStyle w:val="FirstParagraph"/>
      </w:pPr>
      <w:r>
        <w:t xml:space="preserve">This research will deliver three significant contributions to academic and professional discourse:</w:t>
      </w:r>
    </w:p>
    <w:p>
      <w:pPr>
        <w:numPr>
          <w:ilvl w:val="0"/>
          <w:numId w:val="1004"/>
        </w:numPr>
        <w:pStyle w:val="Compact"/>
      </w:pPr>
      <w:r>
        <w:t xml:space="preserve">Conceptual**: A new "Munich Compliance Adaptation Model" detailing how auditors can systematically map regulatory changes onto client-specific business processes within Germany's legal ecosystem.</w:t>
      </w:r>
    </w:p>
    <w:p>
      <w:pPr>
        <w:numPr>
          <w:ilvl w:val="0"/>
          <w:numId w:val="1004"/>
        </w:numPr>
        <w:pStyle w:val="Compact"/>
      </w:pPr>
      <w:r>
        <w:t xml:space="preserve">Practical**: An evidence-based toolkit for auditors in Munich, including: (a) a checklist for integrating ESG data validation into financial audits, (b) guidelines for ethical AI use in risk assessment per German professional codes.</w:t>
      </w:r>
    </w:p>
    <w:p>
      <w:pPr>
        <w:numPr>
          <w:ilvl w:val="0"/>
          <w:numId w:val="1004"/>
        </w:numPr>
        <w:pStyle w:val="Compact"/>
      </w:pPr>
      <w:r>
        <w:t xml:space="preserve">Policy-Driven**: Recommendations to BaFin and the IDW on streamlining regulatory communication channels specifically for auditors operating in Munich's dense business environment – addressing current friction points where compliance burdens stifle innovation.</w:t>
      </w:r>
    </w:p>
    <w:p>
      <w:pPr>
        <w:pStyle w:val="FirstParagraph"/>
      </w:pPr>
      <w:r>
        <w:t xml:space="preserve">Crucially, this work positions the</w:t>
      </w:r>
      <w:r>
        <w:t xml:space="preserve"> </w:t>
      </w:r>
      <w:r>
        <w:rPr>
          <w:bCs/>
          <w:b/>
        </w:rPr>
        <w:t xml:space="preserve">Auditor</w:t>
      </w:r>
      <w:r>
        <w:t xml:space="preserve"> </w:t>
      </w:r>
      <w:r>
        <w:t xml:space="preserve">not as a compliance checker but as an indispensable strategic partner for businesses navigating Germany's evolving regulatory terrain. For</w:t>
      </w:r>
      <w:r>
        <w:t xml:space="preserve"> </w:t>
      </w:r>
      <w:r>
        <w:rPr>
          <w:bCs/>
          <w:b/>
        </w:rPr>
        <w:t xml:space="preserve">Germany Munich</w:t>
      </w:r>
      <w:r>
        <w:t xml:space="preserve">, this translates to enhanced business resilience and reinforced trust – key pillars of the city's reputation as a global investment destination.</w:t>
      </w:r>
    </w:p>
    <w:bookmarkEnd w:id="25"/>
    <w:bookmarkStart w:id="26" w:name="X20582402e4e7fc5cb82c63ff2cd75a9a9f217ab"/>
    <w:p>
      <w:pPr>
        <w:pStyle w:val="Heading2"/>
      </w:pPr>
      <w:r>
        <w:t xml:space="preserve">7. Significance: Why This Thesis Proposal Matters Now</w:t>
      </w:r>
    </w:p>
    <w:p>
      <w:pPr>
        <w:pStyle w:val="FirstParagraph"/>
      </w:pPr>
      <w:r>
        <w:t xml:space="preserve">The urgency for this research is amplified by Munich's strategic position. As Germany accelerates its digital transformation (e.g., "Digital Agenda 2030"), auditors face an existential shift: those unable to master data-driven assurance will lose relevance. Simultaneously, global investors increasingly demand transparency on ESG and cyber risk – areas where Munich's corporate leaders urgently need auditor expertise. This</w:t>
      </w:r>
      <w:r>
        <w:t xml:space="preserve"> </w:t>
      </w:r>
      <w:r>
        <w:rPr>
          <w:bCs/>
          <w:b/>
        </w:rPr>
        <w:t xml:space="preserve">Thesis Proposal</w:t>
      </w:r>
      <w:r>
        <w:t xml:space="preserve"> </w:t>
      </w:r>
      <w:r>
        <w:t xml:space="preserve">responds directly to the city's economic pulse, offering solutions that strengthen Munich's competitiveness as a financial center while upholding Germany’s legacy of rigorous financial oversight. The findings will be presented at the 2025 Munich Financial Governance Summit and published in the *Journal of International Accounting Research* (Germany-based), ensuring direct impact on</w:t>
      </w:r>
      <w:r>
        <w:t xml:space="preserve"> </w:t>
      </w:r>
      <w:r>
        <w:rPr>
          <w:bCs/>
          <w:b/>
        </w:rPr>
        <w:t xml:space="preserve">Auditor</w:t>
      </w:r>
      <w:r>
        <w:t xml:space="preserve"> </w:t>
      </w:r>
      <w:r>
        <w:t xml:space="preserve">practice within</w:t>
      </w:r>
      <w:r>
        <w:t xml:space="preserve"> </w:t>
      </w:r>
      <w:r>
        <w:rPr>
          <w:bCs/>
          <w:b/>
        </w:rPr>
        <w:t xml:space="preserve">Germany Munich</w:t>
      </w:r>
      <w:r>
        <w:t xml:space="preserve">.</w:t>
      </w:r>
    </w:p>
    <w:bookmarkEnd w:id="26"/>
    <w:bookmarkStart w:id="27" w:name="timeline-and-feasibility"/>
    <w:p>
      <w:pPr>
        <w:pStyle w:val="Heading2"/>
      </w:pPr>
      <w:r>
        <w:t xml:space="preserve">8. Timeline and Feasibility</w:t>
      </w:r>
    </w:p>
    <w:p>
      <w:pPr>
        <w:pStyle w:val="FirstParagraph"/>
      </w:pPr>
      <w:r>
        <w:t xml:space="preserve">The research schedule is meticulously aligned with Munich's academic calendar:</w:t>
      </w:r>
    </w:p>
    <w:p>
      <w:pPr>
        <w:numPr>
          <w:ilvl w:val="0"/>
          <w:numId w:val="1005"/>
        </w:numPr>
        <w:pStyle w:val="Compact"/>
      </w:pPr>
      <w:r>
        <w:rPr>
          <w:iCs/>
          <w:i/>
        </w:rPr>
        <w:t xml:space="preserve">Mos 1-3:</w:t>
      </w:r>
      <w:r>
        <w:t xml:space="preserve"> </w:t>
      </w:r>
      <w:r>
        <w:t xml:space="preserve">Literature review &amp; ethics approval (Munich University Ethics Board)</w:t>
      </w:r>
    </w:p>
    <w:p>
      <w:pPr>
        <w:numPr>
          <w:ilvl w:val="0"/>
          <w:numId w:val="1005"/>
        </w:numPr>
        <w:pStyle w:val="Compact"/>
      </w:pPr>
      <w:r>
        <w:rPr>
          <w:iCs/>
          <w:i/>
        </w:rPr>
        <w:t xml:space="preserve">Mos 4-6:</w:t>
      </w:r>
      <w:r>
        <w:t xml:space="preserve"> </w:t>
      </w:r>
      <w:r>
        <w:t xml:space="preserve">Conduct interviews with BaFin &amp; audit firms (Munich network access secured via partnership with IDW)</w:t>
      </w:r>
    </w:p>
    <w:p>
      <w:pPr>
        <w:numPr>
          <w:ilvl w:val="0"/>
          <w:numId w:val="1005"/>
        </w:numPr>
        <w:pStyle w:val="Compact"/>
      </w:pPr>
      <w:r>
        <w:rPr>
          <w:iCs/>
          <w:i/>
        </w:rPr>
        <w:t xml:space="preserve">Mos 7-9:</w:t>
      </w:r>
      <w:r>
        <w:t xml:space="preserve"> </w:t>
      </w:r>
      <w:r>
        <w:t xml:space="preserve">Survey deployment and data analysis</w:t>
      </w:r>
    </w:p>
    <w:p>
      <w:pPr>
        <w:numPr>
          <w:ilvl w:val="0"/>
          <w:numId w:val="1005"/>
        </w:numPr>
        <w:pStyle w:val="Compact"/>
      </w:pPr>
      <w:r>
        <w:rPr>
          <w:iCs/>
          <w:i/>
        </w:rPr>
        <w:t xml:space="preserve">Mos 10-12:</w:t>
      </w:r>
      <w:r>
        <w:t xml:space="preserve"> </w:t>
      </w:r>
      <w:r>
        <w:t xml:space="preserve">Drafting, case study validation, and thesis submission</w:t>
      </w:r>
    </w:p>
    <w:bookmarkEnd w:id="27"/>
    <w:bookmarkStart w:id="28" w:name="X7c1141ad6b929bb74a17b0a031a1b9e4493a051"/>
    <w:p>
      <w:pPr>
        <w:pStyle w:val="Heading2"/>
      </w:pPr>
      <w:r>
        <w:t xml:space="preserve">9. Conclusion: Charting the Auditor's Path Forward in Germany Munich</w:t>
      </w:r>
    </w:p>
    <w:p>
      <w:pPr>
        <w:pStyle w:val="FirstParagraph"/>
      </w:pPr>
      <w:r>
        <w:t xml:space="preserve">In conclusion, this</w:t>
      </w:r>
      <w:r>
        <w:t xml:space="preserve"> </w:t>
      </w:r>
      <w:r>
        <w:rPr>
          <w:bCs/>
          <w:b/>
        </w:rPr>
        <w:t xml:space="preserve">Thesis Proposal</w:t>
      </w:r>
      <w:r>
        <w:t xml:space="preserve"> </w:t>
      </w:r>
      <w:r>
        <w:t xml:space="preserve">establishes that the role of the</w:t>
      </w:r>
      <w:r>
        <w:t xml:space="preserve"> </w:t>
      </w:r>
      <w:r>
        <w:rPr>
          <w:iCs/>
          <w:i/>
        </w:rPr>
        <w:t xml:space="preserve">Auditor</w:t>
      </w:r>
      <w:r>
        <w:t xml:space="preserve"> </w:t>
      </w:r>
      <w:r>
        <w:t xml:space="preserve">in Munich is no longer confined to verifying financial statements but has evolved into a critical function for corporate governance, regulatory navigation, and strategic trust-building within Germany's most dynamic economic engine. By centering our study on the specific pressures, opportunities, and cultural nuances of</w:t>
      </w:r>
      <w:r>
        <w:t xml:space="preserve"> </w:t>
      </w:r>
      <w:r>
        <w:rPr>
          <w:bCs/>
          <w:b/>
        </w:rPr>
        <w:t xml:space="preserve">Germany Munich</w:t>
      </w:r>
      <w:r>
        <w:t xml:space="preserve">, this research transcends generic audit theory to deliver contextually grounded solutions. It promises to equip auditors not just to meet compliance demands in Munich today, but to anticipate regulatory shifts for tomorrow's business landscape – ensuring that the auditor remains the indispensable guardian of integrity in Germany's most prestigious commercial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Navigating Regulatory Complexity within Germany Munich's Financial Ecosystem</dc:title>
  <dc:creator/>
  <dc:language>en</dc:language>
  <cp:keywords/>
  <dcterms:created xsi:type="dcterms:W3CDTF">2026-04-20T17:41:08Z</dcterms:created>
  <dcterms:modified xsi:type="dcterms:W3CDTF">2026-04-20T17:41:08Z</dcterms:modified>
</cp:coreProperties>
</file>

<file path=docProps/custom.xml><?xml version="1.0" encoding="utf-8"?>
<Properties xmlns="http://schemas.openxmlformats.org/officeDocument/2006/custom-properties" xmlns:vt="http://schemas.openxmlformats.org/officeDocument/2006/docPropsVTypes"/>
</file>