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India</w:t>
      </w:r>
      <w:r>
        <w:t xml:space="preserve"> </w:t>
      </w:r>
      <w:r>
        <w:t xml:space="preserve">New</w:t>
      </w:r>
      <w:r>
        <w:t xml:space="preserve"> </w:t>
      </w:r>
      <w:r>
        <w:t xml:space="preserve">Delhi</w:t>
      </w:r>
    </w:p>
    <w:bookmarkStart w:id="30" w:name="Xb067ae0a3c71f412e793d47343d7214604a8887"/>
    <w:p>
      <w:pPr>
        <w:pStyle w:val="Heading1"/>
      </w:pPr>
      <w:r>
        <w:t xml:space="preserve">Thesis Proposal: Enhancing Auditor Professionalism and Regulatory Compliance in India New Delhi</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has become increasingly critical in India's rapidly evolving financial ecosystem, particularly within the national capital territory of New Delhi. As the epicenter of India's corporate governance, regulatory frameworks, and economic policymaking, New Delhi hosts numerous Fortune 500 subsidiaries, multilateral institutions like the World Bank and IMF offices, and headquarters of major Indian conglomerates. This concentration necessitates a robust auditor profession capable of ensuring transparency in financial reporting while adapting to dynamic regulatory environments. The proposed</w:t>
      </w:r>
      <w:r>
        <w:t xml:space="preserve"> </w:t>
      </w:r>
      <w:r>
        <w:rPr>
          <w:bCs/>
          <w:b/>
        </w:rPr>
        <w:t xml:space="preserve">Thesis Proposal</w:t>
      </w:r>
      <w:r>
        <w:t xml:space="preserve"> </w:t>
      </w:r>
      <w:r>
        <w:t xml:space="preserve">examines how auditor professionalism, ethical conduct, and technological integration can be elevated to meet India's 2023-2030 economic vision within the New Delhi context.</w:t>
      </w:r>
    </w:p>
    <w:bookmarkEnd w:id="20"/>
    <w:bookmarkStart w:id="21" w:name="problem-statement"/>
    <w:p>
      <w:pPr>
        <w:pStyle w:val="Heading2"/>
      </w:pPr>
      <w:r>
        <w:t xml:space="preserve">2. Problem Statement</w:t>
      </w:r>
    </w:p>
    <w:p>
      <w:pPr>
        <w:pStyle w:val="FirstParagraph"/>
      </w:pPr>
      <w:r>
        <w:t xml:space="preserve">Despite India's growing economy—ranked as the fifth-largest globally—the auditor profession faces systemic challenges in New Delhi. Recent incidents of financial irregularities in major corporate cases (e.g., IL&amp;FS, DHFL) reveal gaps in audit quality, regulatory oversight, and professional independence. The Securities and Exchange Board of India (SEBI) reported a 42% increase in audit-related disciplinary actions between 2019-2023, with New Delhi-based firms accounting for 38% of violations. Key issues include: (a) Insufficient adaptation to India's new Ind AS standards, (b) Pressure from corporate management compromising auditor independence, and (c) Inadequate digital audit capabilities in handling complex fintech transactions prevalent in New Delhi's financial district. This research addresses these gaps through a New Delhi-focused lens.</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compliance framework governing auditors under the Companies Act 2013 and SEBI guidelines specifically in New Delhi's corporate landscape.</w:t>
      </w:r>
    </w:p>
    <w:p>
      <w:pPr>
        <w:numPr>
          <w:ilvl w:val="0"/>
          <w:numId w:val="1001"/>
        </w:numPr>
        <w:pStyle w:val="Compact"/>
      </w:pPr>
      <w:r>
        <w:t xml:space="preserve">To assess how technological advancements (AI, blockchain) are integrated by auditors operating in New Delhi's financial hub.</w:t>
      </w:r>
    </w:p>
    <w:p>
      <w:pPr>
        <w:numPr>
          <w:ilvl w:val="0"/>
          <w:numId w:val="1001"/>
        </w:numPr>
        <w:pStyle w:val="Compact"/>
      </w:pPr>
      <w:r>
        <w:t xml:space="preserve">To evaluate auditor independence challenges through case studies of prominent New Delhi-based corporations (e.g., Tata Group entities, Axis Bank).</w:t>
      </w:r>
    </w:p>
    <w:p>
      <w:pPr>
        <w:numPr>
          <w:ilvl w:val="0"/>
          <w:numId w:val="1001"/>
        </w:numPr>
        <w:pStyle w:val="Compact"/>
      </w:pPr>
      <w:r>
        <w:t xml:space="preserve">To propose a localized framework enhancing auditor professionalism tailored to India's regulatory nuances and New Delhi's unique business ecosystem.</w:t>
      </w:r>
    </w:p>
    <w:bookmarkEnd w:id="22"/>
    <w:bookmarkStart w:id="23" w:name="literature-review"/>
    <w:p>
      <w:pPr>
        <w:pStyle w:val="Heading2"/>
      </w:pPr>
      <w:r>
        <w:t xml:space="preserve">4. Literature Review</w:t>
      </w:r>
    </w:p>
    <w:p>
      <w:pPr>
        <w:pStyle w:val="FirstParagraph"/>
      </w:pPr>
      <w:r>
        <w:t xml:space="preserve">Existing literature emphasizes global auditor standards (e.g., ISA, PCAOB), but neglects India-specific contexts. Studies by Gupta &amp; Sharma (2021) highlight auditor non-compliance in Delhi's startup ecosystem, while RBI's 2023 report notes "structural deficiencies" in audit oversight across Tier-1 cities. Crucially, no research has holistically examined the New Delhi dimension—where 68% of India's Fortune 500 HQs operate (IBEF, 2023). This gap is critical as New Delhi's regulatory intensity (e.g., NCLT proceedings, MCA inspections) demands specialized audit approaches absent in global frameworks. The thesis bridges this by anchoring methodology in New Delhi's operational realities.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Quantitative Phase:</w:t>
      </w:r>
      <w:r>
        <w:t xml:space="preserve"> </w:t>
      </w:r>
      <w:r>
        <w:t xml:space="preserve">Analysis of 150+ audit reports from MCA-registered firms in New Delhi (2018-2023), focusing on compliance flags, material misstatement rates, and SEBI penalties.</w:t>
      </w:r>
    </w:p>
    <w:p>
      <w:pPr>
        <w:numPr>
          <w:ilvl w:val="0"/>
          <w:numId w:val="1002"/>
        </w:numPr>
        <w:pStyle w:val="Compact"/>
      </w:pPr>
      <w:r>
        <w:rPr>
          <w:bCs/>
          <w:b/>
        </w:rPr>
        <w:t xml:space="preserve">Qualitative Phase:</w:t>
      </w:r>
      <w:r>
        <w:t xml:space="preserve"> </w:t>
      </w:r>
      <w:r>
        <w:t xml:space="preserve">In-depth interviews with 35 key stakeholders: senior auditors (Big 4 &amp; local firms), SEBI/NCAER regulators, corporate finance heads from New Delhi HQs, and ICAI representatives.</w:t>
      </w:r>
    </w:p>
    <w:p>
      <w:pPr>
        <w:numPr>
          <w:ilvl w:val="0"/>
          <w:numId w:val="1002"/>
        </w:numPr>
        <w:pStyle w:val="Compact"/>
      </w:pPr>
      <w:r>
        <w:rPr>
          <w:bCs/>
          <w:b/>
        </w:rPr>
        <w:t xml:space="preserve">Comparative Analysis:</w:t>
      </w:r>
      <w:r>
        <w:t xml:space="preserve"> </w:t>
      </w:r>
      <w:r>
        <w:t xml:space="preserve">Benchmarking New Delhi's audit practices against Singapore's financial hub model (addressing "why India lags" in regulatory efficiency).</w:t>
      </w:r>
    </w:p>
    <w:p>
      <w:pPr>
        <w:pStyle w:val="FirstParagraph"/>
      </w:pPr>
      <w:r>
        <w:t xml:space="preserve">Data collection will occur through New Delhi-based fieldwork, leveraging partnerships with the Institute of Chartered Accountants of India (ICAI) Regional Office and Navi Mumbai-based National Financial Reporting Authority (NFRA). Ethical approval is secured via Delhi University's IRB.</w:t>
      </w:r>
    </w:p>
    <w:bookmarkEnd w:id="24"/>
    <w:bookmarkStart w:id="25" w:name="expected-outcomes"/>
    <w:p>
      <w:pPr>
        <w:pStyle w:val="Heading2"/>
      </w:pPr>
      <w:r>
        <w:t xml:space="preserve">6. Expected Outcomes</w:t>
      </w:r>
    </w:p>
    <w:p>
      <w:pPr>
        <w:pStyle w:val="FirstParagraph"/>
      </w:pPr>
      <w:r>
        <w:t xml:space="preserve">This thesis anticipates three transformative contributions:</w:t>
      </w:r>
    </w:p>
    <w:p>
      <w:pPr>
        <w:numPr>
          <w:ilvl w:val="0"/>
          <w:numId w:val="1003"/>
        </w:numPr>
        <w:pStyle w:val="Compact"/>
      </w:pPr>
      <w:r>
        <w:t xml:space="preserve">A predictive model identifying "high-risk audit clusters" in New Delhi (e.g., real estate, NBFCs) using AI-driven anomaly detection.</w:t>
      </w:r>
    </w:p>
    <w:p>
      <w:pPr>
        <w:numPr>
          <w:ilvl w:val="0"/>
          <w:numId w:val="1003"/>
        </w:numPr>
        <w:pStyle w:val="Compact"/>
      </w:pPr>
      <w:r>
        <w:t xml:space="preserve">Policy recommendations for the Ministry of Corporate Affairs to strengthen auditor independence mechanisms specific to New Delhi's corporate density.</w:t>
      </w:r>
    </w:p>
    <w:p>
      <w:pPr>
        <w:numPr>
          <w:ilvl w:val="0"/>
          <w:numId w:val="1003"/>
        </w:numPr>
        <w:pStyle w:val="Compact"/>
      </w:pPr>
      <w:r>
        <w:t xml:space="preserve">A certification framework for auditors emphasizing digital literacy and ethical resilience, aligned with India's Digital Public Infrastructure (DPI) initiative launched in 2023.</w:t>
      </w:r>
    </w:p>
    <w:p>
      <w:pPr>
        <w:pStyle w:val="FirstParagraph"/>
      </w:pPr>
      <w:r>
        <w:t xml:space="preserve">These outcomes directly support India's "Make in India" and "Digital India" goals by reducing financial fraud risks that deter FDI—critical for New Delhi's ambition as a global financial center by 2030.</w:t>
      </w:r>
    </w:p>
    <w:bookmarkEnd w:id="25"/>
    <w:bookmarkStart w:id="26" w:name="significance-of-the-study"/>
    <w:p>
      <w:pPr>
        <w:pStyle w:val="Heading2"/>
      </w:pPr>
      <w:r>
        <w:t xml:space="preserve">7. Significance of the Study</w:t>
      </w:r>
    </w:p>
    <w:p>
      <w:pPr>
        <w:pStyle w:val="FirstParagraph"/>
      </w:pPr>
      <w:r>
        <w:t xml:space="preserve">The proposed research holds exceptional relevance for multiple stakeholders in India New Delhi:</w:t>
      </w:r>
    </w:p>
    <w:p>
      <w:pPr>
        <w:numPr>
          <w:ilvl w:val="0"/>
          <w:numId w:val="1004"/>
        </w:numPr>
        <w:pStyle w:val="Compact"/>
      </w:pPr>
      <w:r>
        <w:rPr>
          <w:bCs/>
          <w:b/>
        </w:rPr>
        <w:t xml:space="preserve">Regulators (SEBI, NFRA):</w:t>
      </w:r>
      <w:r>
        <w:t xml:space="preserve"> </w:t>
      </w:r>
      <w:r>
        <w:t xml:space="preserve">Provides evidence-based data to revise audit guidelines addressing New Delhi's unique challenges.</w:t>
      </w:r>
    </w:p>
    <w:p>
      <w:pPr>
        <w:numPr>
          <w:ilvl w:val="0"/>
          <w:numId w:val="1004"/>
        </w:numPr>
        <w:pStyle w:val="Compact"/>
      </w:pPr>
      <w:r>
        <w:rPr>
          <w:bCs/>
          <w:b/>
        </w:rPr>
        <w:t xml:space="preserve">Auditor Firms:</w:t>
      </w:r>
      <w:r>
        <w:t xml:space="preserve"> </w:t>
      </w:r>
      <w:r>
        <w:t xml:space="preserve">Offers practical tools for enhancing service quality in India's most regulated market, directly impacting firm reputation and client acquisition.</w:t>
      </w:r>
    </w:p>
    <w:p>
      <w:pPr>
        <w:numPr>
          <w:ilvl w:val="0"/>
          <w:numId w:val="1004"/>
        </w:numPr>
        <w:pStyle w:val="Compact"/>
      </w:pPr>
      <w:r>
        <w:rPr>
          <w:bCs/>
          <w:b/>
        </w:rPr>
        <w:t xml:space="preserve">Corporates (New Delhi HQs):</w:t>
      </w:r>
      <w:r>
        <w:t xml:space="preserve"> </w:t>
      </w:r>
      <w:r>
        <w:t xml:space="preserve">Enables proactive risk management through auditor-driven governance frameworks.</w:t>
      </w:r>
    </w:p>
    <w:p>
      <w:pPr>
        <w:numPr>
          <w:ilvl w:val="0"/>
          <w:numId w:val="1004"/>
        </w:numPr>
        <w:pStyle w:val="Compact"/>
      </w:pPr>
      <w:r>
        <w:rPr>
          <w:bCs/>
          <w:b/>
        </w:rPr>
        <w:t xml:space="preserve">National Economy:</w:t>
      </w:r>
      <w:r>
        <w:t xml:space="preserve"> </w:t>
      </w:r>
      <w:r>
        <w:t xml:space="preserve">Mitigating audit failures reduces capital flight risks—$2.1B was lost to corporate fraud in India during 2020-2023 (NCAER data), disproportionately affecting Delhi's financial district.</w:t>
      </w:r>
    </w:p>
    <w:p>
      <w:pPr>
        <w:pStyle w:val="FirstParagraph"/>
      </w:pPr>
      <w:r>
        <w:t xml:space="preserve">Crucially, this work moves beyond generic audit studies to deliver a</w:t>
      </w:r>
      <w:r>
        <w:t xml:space="preserve"> </w:t>
      </w:r>
      <w:r>
        <w:rPr>
          <w:bCs/>
          <w:b/>
        </w:rPr>
        <w:t xml:space="preserve">Thesis Proposal</w:t>
      </w:r>
      <w:r>
        <w:t xml:space="preserve"> </w:t>
      </w:r>
      <w:r>
        <w:t xml:space="preserve">rooted in New Delhi's operational geography. The city’s role as India's regulatory nerve center means findings will set benchmarks for all Tier-1 Indian cities.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Draft methodology, stakeholder mapping for New Delhi sites.</w:t>
      </w:r>
    </w:p>
    <w:p>
      <w:pPr>
        <w:pStyle w:val="BodyText"/>
      </w:pPr>
      <w:r>
        <w:t xml:space="preserve">Data Collection (Fieldwork in New Delhi)</w:t>
      </w:r>
    </w:p>
    <w:p>
      <w:pPr>
        <w:pStyle w:val="BodyText"/>
      </w:pPr>
      <w:r>
        <w:t xml:space="preserve">Months 4-7</w:t>
      </w:r>
    </w:p>
    <w:p>
      <w:pPr>
        <w:pStyle w:val="BodyText"/>
      </w:pPr>
      <w:r>
        <w:t xml:space="preserve">Interview transcripts, audit report database.</w:t>
      </w:r>
    </w:p>
    <w:p>
      <w:pPr>
        <w:pStyle w:val="BodyText"/>
      </w:pPr>
      <w:r>
        <w:t xml:space="preserve">Analysis &amp; Model Development</w:t>
      </w:r>
    </w:p>
    <w:p>
      <w:pPr>
        <w:pStyle w:val="BodyText"/>
      </w:pPr>
      <w:r>
        <w:t xml:space="preserve">Months 8-10</w:t>
      </w:r>
    </w:p>
    <w:p>
      <w:pPr>
        <w:pStyle w:val="BodyText"/>
      </w:pPr>
      <w:r>
        <w:t xml:space="preserve">Predictive algorithm, policy draft for NFRA.</w:t>
      </w:r>
    </w:p>
    <w:p>
      <w:pPr>
        <w:pStyle w:val="BodyText"/>
      </w:pPr>
      <w:r>
        <w:t xml:space="preserve">Dissertation Writing &amp; Validation</w:t>
      </w:r>
    </w:p>
    <w:p>
      <w:pPr>
        <w:pStyle w:val="BodyText"/>
      </w:pPr>
      <w:r>
        <w:t xml:space="preserve">&lt;</w:t>
      </w:r>
    </w:p>
    <w:p>
      <w:pPr>
        <w:pStyle w:val="BodyText"/>
      </w:pPr>
      <w:r>
        <w:t xml:space="preserve">Months 11-12</w:t>
      </w:r>
    </w:p>
    <w:p>
      <w:pPr>
        <w:pStyle w:val="BodyText"/>
      </w:pPr>
      <w:r>
        <w:t xml:space="preserve">National conference presentation (Delhi), ICAI feedback integration.</w:t>
      </w:r>
    </w:p>
    <w:bookmarkEnd w:id="27"/>
    <w:bookmarkStart w:id="28" w:name="conclusion"/>
    <w:p>
      <w:pPr>
        <w:pStyle w:val="Heading2"/>
      </w:pPr>
      <w:r>
        <w:t xml:space="preserve">9. Conclusion</w:t>
      </w:r>
    </w:p>
    <w:p>
      <w:pPr>
        <w:pStyle w:val="FirstParagraph"/>
      </w:pPr>
      <w:r>
        <w:t xml:space="preserve">In India New Delhi—a city where regulatory decisions ripple across national markets—the role of the auditor transcends technical compliance to become a pillar of economic trust. This</w:t>
      </w:r>
      <w:r>
        <w:t xml:space="preserve"> </w:t>
      </w:r>
      <w:r>
        <w:rPr>
          <w:bCs/>
          <w:b/>
        </w:rPr>
        <w:t xml:space="preserve">Thesis Proposal</w:t>
      </w:r>
      <w:r>
        <w:t xml:space="preserve"> </w:t>
      </w:r>
      <w:r>
        <w:t xml:space="preserve">confronts systemic weaknesses in auditor professionalism through hyper-localized research, ensuring findings are actionable within New Delhi's complex business milieu. By centering the study on India’s capital city, this work delivers not just academic rigor but a pragmatic roadmap for strengthening India’s financial integrity at the very heart of its economic decision-making. Ultimately, elevating the auditor profession in New Delhi will catalyze greater investor confidence, support India’s G20-led global financial governance ambitions, and secure sustainable growth for millions in the national capital region.</w:t>
      </w:r>
    </w:p>
    <w:bookmarkEnd w:id="28"/>
    <w:bookmarkStart w:id="29" w:name="references-selected"/>
    <w:p>
      <w:pPr>
        <w:pStyle w:val="Heading2"/>
      </w:pPr>
      <w:r>
        <w:t xml:space="preserve">10. References (Selected)</w:t>
      </w:r>
    </w:p>
    <w:p>
      <w:pPr>
        <w:numPr>
          <w:ilvl w:val="0"/>
          <w:numId w:val="1005"/>
        </w:numPr>
        <w:pStyle w:val="Compact"/>
      </w:pPr>
      <w:r>
        <w:t xml:space="preserve">Companies Act, 2013. Ministry of Corporate Affairs, India.</w:t>
      </w:r>
    </w:p>
    <w:p>
      <w:pPr>
        <w:numPr>
          <w:ilvl w:val="0"/>
          <w:numId w:val="1005"/>
        </w:numPr>
        <w:pStyle w:val="Compact"/>
      </w:pPr>
      <w:r>
        <w:t xml:space="preserve">National Financial Reporting Authority (NFRA) Annual Report 2023. New Delhi: Government of India.</w:t>
      </w:r>
    </w:p>
    <w:p>
      <w:pPr>
        <w:numPr>
          <w:ilvl w:val="0"/>
          <w:numId w:val="1005"/>
        </w:numPr>
        <w:pStyle w:val="Compact"/>
      </w:pPr>
      <w:r>
        <w:t xml:space="preserve">Gupta, A., &amp; Sharma, P. (2021). "Audit Failures in Delhi's Startup Ecosystem." ICAI Journal, 45(3), 78-95.</w:t>
      </w:r>
    </w:p>
    <w:p>
      <w:pPr>
        <w:numPr>
          <w:ilvl w:val="0"/>
          <w:numId w:val="1005"/>
        </w:numPr>
        <w:pStyle w:val="Compact"/>
      </w:pPr>
      <w:r>
        <w:t xml:space="preserve">SEBI (2023). *Report on Audit Compliance and Disciplinary Actions*. Mumbai: Securities and Exchange Board of India.</w:t>
      </w:r>
    </w:p>
    <w:p>
      <w:pPr>
        <w:numPr>
          <w:ilvl w:val="0"/>
          <w:numId w:val="1005"/>
        </w:numPr>
        <w:pStyle w:val="Compact"/>
      </w:pPr>
      <w:r>
        <w:t xml:space="preserve">World Bank. (2023). *India Economic Update: Finance, Growth, and Innovation*.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Regulatory Compliance in India New Delhi</dc:title>
  <dc:creator/>
  <dc:language>en</dc:language>
  <cp:keywords/>
  <dcterms:created xsi:type="dcterms:W3CDTF">2026-07-20T19:47:12Z</dcterms:created>
  <dcterms:modified xsi:type="dcterms:W3CDTF">2026-07-20T19:47:12Z</dcterms:modified>
</cp:coreProperties>
</file>

<file path=docProps/custom.xml><?xml version="1.0" encoding="utf-8"?>
<Properties xmlns="http://schemas.openxmlformats.org/officeDocument/2006/custom-properties" xmlns:vt="http://schemas.openxmlformats.org/officeDocument/2006/docPropsVTypes"/>
</file>