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Auditor</w:t>
      </w:r>
      <w:r>
        <w:t xml:space="preserve"> </w:t>
      </w:r>
      <w:r>
        <w:t xml:space="preserve">Professionalism</w:t>
      </w:r>
      <w:r>
        <w:t xml:space="preserve"> </w:t>
      </w:r>
      <w:r>
        <w:t xml:space="preserve">in</w:t>
      </w:r>
      <w:r>
        <w:t xml:space="preserve"> </w:t>
      </w:r>
      <w:r>
        <w:t xml:space="preserve">Indonesia</w:t>
      </w:r>
      <w:r>
        <w:t xml:space="preserve"> </w:t>
      </w:r>
      <w:r>
        <w:t xml:space="preserve">Jakarta</w:t>
      </w:r>
    </w:p>
    <w:bookmarkStart w:id="29" w:name="X071315f459644fcad47b264ab0127dc433f04c5"/>
    <w:p>
      <w:pPr>
        <w:pStyle w:val="Heading1"/>
      </w:pPr>
      <w:r>
        <w:t xml:space="preserve">Thesis Proposal: Enhancing Auditor Competence and Ethical Standards in the Dynamic Financial Ecosystem of Indonesia Jakarta</w:t>
      </w:r>
    </w:p>
    <w:bookmarkStart w:id="20" w:name="introduction"/>
    <w:p>
      <w:pPr>
        <w:pStyle w:val="Heading2"/>
      </w:pPr>
      <w:r>
        <w:t xml:space="preserve">1. Introduction</w:t>
      </w:r>
    </w:p>
    <w:p>
      <w:pPr>
        <w:pStyle w:val="FirstParagraph"/>
      </w:pPr>
      <w:r>
        <w:t xml:space="preserve">The rapid economic expansion of Indonesia Jakarta, as the nation's political, financial, and commercial epicenter, has intensified demands for rigorous financial oversight. With over 40% of Indonesia's national GDP generated within DKI Jakarta (Jakarta Special Region), the role of the Auditor has evolved from mere compliance verification to a critical guardian of investor confidence and economic transparency. This Thesis Proposal addresses a pressing gap in professional practice: while global auditing standards like ISA (International Standards on Auditing) are adopted, their contextual application within Indonesia Jakarta's unique socio-economic landscape remains uneven. The proposed research aims to investigate how Auditor competence, ethical decision-making, and technological adaptation can be systematically enhanced to meet Jakarta's escalating regulatory complexity and business dynamism.</w:t>
      </w:r>
    </w:p>
    <w:bookmarkEnd w:id="20"/>
    <w:bookmarkStart w:id="21" w:name="problem-statement"/>
    <w:p>
      <w:pPr>
        <w:pStyle w:val="Heading2"/>
      </w:pPr>
      <w:r>
        <w:t xml:space="preserve">2. Problem Statement</w:t>
      </w:r>
    </w:p>
    <w:p>
      <w:pPr>
        <w:pStyle w:val="FirstParagraph"/>
      </w:pPr>
      <w:r>
        <w:t xml:space="preserve">Despite Indonesia's adoption of International Financial Reporting Standards (IFRS) and the strengthening of the Financial Services Authority (OJK), Auditor performance in Jakarta faces significant challenges. Recent OJK reports indicate a 35% rise in audit failures related to fraud concealment or misstatement in Jakarta-based SMEs between 2021-2023, with root causes tied to insufficient local market knowledge, pressure from high-stakes clients, and inadequate training on Indonesia-specific regulations. The Auditor's ability to navigate Jakarta's dense regulatory environment—including overlapping requirements from OJK, Ministry of Finance (MoF), and the State Audit Agency (BPK)—is frequently compromised. This undermines financial integrity in a city where over 150,000 businesses operate under complex tax and compliance frameworks. Without targeted interventions, Indonesia Jakarta risks eroding investor trust and hindering its ambition to become ASEAN's leading financial hub.</w:t>
      </w:r>
    </w:p>
    <w:bookmarkEnd w:id="21"/>
    <w:bookmarkStart w:id="22" w:name="research-objectives"/>
    <w:p>
      <w:pPr>
        <w:pStyle w:val="Heading2"/>
      </w:pPr>
      <w:r>
        <w:t xml:space="preserve">3. Research Objectives</w:t>
      </w:r>
    </w:p>
    <w:p>
      <w:pPr>
        <w:pStyle w:val="FirstParagraph"/>
      </w:pPr>
      <w:r>
        <w:t xml:space="preserve">This Thesis Proposal outlines four interconnected objectives:</w:t>
      </w:r>
    </w:p>
    <w:p>
      <w:pPr>
        <w:numPr>
          <w:ilvl w:val="0"/>
          <w:numId w:val="1001"/>
        </w:numPr>
        <w:pStyle w:val="Compact"/>
      </w:pPr>
      <w:r>
        <w:t xml:space="preserve">To evaluate current Auditor competency gaps in Indonesia Jakarta through a comparative analysis of international standards (e.g., IASB, IAASB) versus local regulatory demands.</w:t>
      </w:r>
    </w:p>
    <w:p>
      <w:pPr>
        <w:numPr>
          <w:ilvl w:val="0"/>
          <w:numId w:val="1001"/>
        </w:numPr>
        <w:pStyle w:val="Compact"/>
      </w:pPr>
      <w:r>
        <w:t xml:space="preserve">To identify socio-cultural and economic factors unique to Jakarta that influence Auditor judgment, including client pressure dynamics and informal business networks ("gotong royong" culture).</w:t>
      </w:r>
    </w:p>
    <w:p>
      <w:pPr>
        <w:numPr>
          <w:ilvl w:val="0"/>
          <w:numId w:val="1001"/>
        </w:numPr>
        <w:pStyle w:val="Compact"/>
      </w:pPr>
      <w:r>
        <w:t xml:space="preserve">To propose a tailored professional development framework for Auditors operating in Indonesia Jakarta, integrating technical skills with contextual awareness of local markets.</w:t>
      </w:r>
    </w:p>
    <w:p>
      <w:pPr>
        <w:numPr>
          <w:ilvl w:val="0"/>
          <w:numId w:val="1001"/>
        </w:numPr>
        <w:pStyle w:val="Compact"/>
      </w:pPr>
      <w:r>
        <w:t xml:space="preserve">To develop a practical ethical decision-making toolkit addressing common dilemmas faced by Auditors in Jakarta’s high-pressure corporate environment.</w:t>
      </w:r>
    </w:p>
    <w:bookmarkEnd w:id="22"/>
    <w:bookmarkStart w:id="23" w:name="literature-review-key-gaps"/>
    <w:p>
      <w:pPr>
        <w:pStyle w:val="Heading2"/>
      </w:pPr>
      <w:r>
        <w:t xml:space="preserve">4. Literature Review (Key Gaps)</w:t>
      </w:r>
    </w:p>
    <w:p>
      <w:pPr>
        <w:pStyle w:val="FirstParagraph"/>
      </w:pPr>
      <w:r>
        <w:t xml:space="preserve">Existing literature focuses heavily on Western auditing contexts or generic Indonesian frameworks, neglecting Jakarta’s urban intensity. Studies by Suryanegara (2020) highlight Auditor reluctance in Jakarta due to "client power asymmetry," while research from the Indonesian Institute of Accountants (IAI) (2022) notes 68% of auditors lack training on Indonesia’s new digital tax systems (e.g., e-SPT). Crucially, no study has examined how Jakarta-specific factors—such as traffic congestion delaying audit fieldwork, informal sector integration in SME audits, or OJK’s rapid policy shifts—affect Auditor efficacy. This Thesis Proposal bridges that gap by centering Indonesia Jakarta as the critical operational context.</w:t>
      </w:r>
    </w:p>
    <w:bookmarkEnd w:id="23"/>
    <w:bookmarkStart w:id="24" w:name="methodology"/>
    <w:p>
      <w:pPr>
        <w:pStyle w:val="Heading2"/>
      </w:pPr>
      <w:r>
        <w:t xml:space="preserve">5. Methodology</w:t>
      </w:r>
    </w:p>
    <w:p>
      <w:pPr>
        <w:pStyle w:val="FirstParagraph"/>
      </w:pPr>
      <w:r>
        <w:t xml:space="preserve">A mixed-methods approach will be employed:</w:t>
      </w:r>
    </w:p>
    <w:p>
      <w:pPr>
        <w:numPr>
          <w:ilvl w:val="0"/>
          <w:numId w:val="1002"/>
        </w:numPr>
        <w:pStyle w:val="Compact"/>
      </w:pPr>
      <w:r>
        <w:rPr>
          <w:bCs/>
          <w:b/>
        </w:rPr>
        <w:t xml:space="preserve">Quantitative Phase:</w:t>
      </w:r>
      <w:r>
        <w:t xml:space="preserve"> </w:t>
      </w:r>
      <w:r>
        <w:t xml:space="preserve">Survey of 150+ Auditors across Jakarta-based firms (Big 4, mid-tier, and SME auditors) using Likert-scale questions on competency challenges, ethical pressures, and technology adoption. Stratified sampling will ensure representation from key sectors: finance (25%), manufacturing (30%), e-commerce (20%), and services (25%).</w:t>
      </w:r>
    </w:p>
    <w:p>
      <w:pPr>
        <w:numPr>
          <w:ilvl w:val="0"/>
          <w:numId w:val="1002"/>
        </w:numPr>
        <w:pStyle w:val="Compact"/>
      </w:pPr>
      <w:r>
        <w:rPr>
          <w:bCs/>
          <w:b/>
        </w:rPr>
        <w:t xml:space="preserve">Qualitative Phase:</w:t>
      </w:r>
      <w:r>
        <w:t xml:space="preserve"> </w:t>
      </w:r>
      <w:r>
        <w:t xml:space="preserve">25 in-depth interviews with Senior Auditors, OJK regulators, and IAI representatives to explore contextual nuances. Case studies of high-profile Jakarta audit failures (e.g., PT Asuransi Jiwa BNI, 2022) will provide actionable insights.</w:t>
      </w:r>
    </w:p>
    <w:p>
      <w:pPr>
        <w:numPr>
          <w:ilvl w:val="0"/>
          <w:numId w:val="1002"/>
        </w:numPr>
        <w:pStyle w:val="Compact"/>
      </w:pPr>
      <w:r>
        <w:rPr>
          <w:bCs/>
          <w:b/>
        </w:rPr>
        <w:t xml:space="preserve">Data Analysis:</w:t>
      </w:r>
      <w:r>
        <w:t xml:space="preserve"> </w:t>
      </w:r>
      <w:r>
        <w:t xml:space="preserve">Thematic analysis for qualitative data; regression modeling to correlate competency gaps with audit failure rates using OJK dataset. All research adheres to Indonesian ethical guidelines (Kode Etik Profesi Akuntan Indonesia).</w:t>
      </w:r>
    </w:p>
    <w:bookmarkEnd w:id="24"/>
    <w:bookmarkStart w:id="25" w:name="significance-of-the-research"/>
    <w:p>
      <w:pPr>
        <w:pStyle w:val="Heading2"/>
      </w:pPr>
      <w:r>
        <w:t xml:space="preserve">6. Significance of the Research</w:t>
      </w:r>
    </w:p>
    <w:p>
      <w:pPr>
        <w:pStyle w:val="FirstParagraph"/>
      </w:pPr>
      <w:r>
        <w:t xml:space="preserve">This Thesis Proposal directly serves Indonesia Jakarta’s strategic goals under the "Jakarta Smart City 2030" initiative, where financial transparency is pivotal for sustainable growth. By targeting Auditor competence, this research will:</w:t>
      </w:r>
    </w:p>
    <w:p>
      <w:pPr>
        <w:numPr>
          <w:ilvl w:val="0"/>
          <w:numId w:val="1003"/>
        </w:numPr>
        <w:pStyle w:val="Compact"/>
      </w:pPr>
      <w:r>
        <w:t xml:space="preserve">Provide OJK and IAI with evidence-based policy recommendations to reform auditor training curricula.</w:t>
      </w:r>
    </w:p>
    <w:p>
      <w:pPr>
        <w:numPr>
          <w:ilvl w:val="0"/>
          <w:numId w:val="1003"/>
        </w:numPr>
        <w:pStyle w:val="Compact"/>
      </w:pPr>
      <w:r>
        <w:t xml:space="preserve">Empower Auditors in Indonesia Jakarta to confidently navigate complex regulations (e.g., Indonesia’s new Tax Amendment Law 2023).</w:t>
      </w:r>
    </w:p>
    <w:p>
      <w:pPr>
        <w:numPr>
          <w:ilvl w:val="0"/>
          <w:numId w:val="1003"/>
        </w:numPr>
        <w:pStyle w:val="Compact"/>
      </w:pPr>
      <w:r>
        <w:t xml:space="preserve">Strengthen investor confidence, attracting foreign capital to a city where FDI inflows reached $5.8 billion in 2023.</w:t>
      </w:r>
    </w:p>
    <w:p>
      <w:pPr>
        <w:numPr>
          <w:ilvl w:val="0"/>
          <w:numId w:val="1003"/>
        </w:numPr>
        <w:pStyle w:val="Compact"/>
      </w:pPr>
      <w:r>
        <w:t xml:space="preserve">Contribute to ASEAN-wide auditing standards by documenting Jakarta’s context as a model for emerging economies.</w:t>
      </w:r>
    </w:p>
    <w:bookmarkEnd w:id="25"/>
    <w:bookmarkStart w:id="26" w:name="expected-outcomes"/>
    <w:p>
      <w:pPr>
        <w:pStyle w:val="Heading2"/>
      </w:pPr>
      <w:r>
        <w:t xml:space="preserve">7. Expected Outcomes</w:t>
      </w:r>
    </w:p>
    <w:p>
      <w:pPr>
        <w:pStyle w:val="FirstParagraph"/>
      </w:pPr>
      <w:r>
        <w:t xml:space="preserve">The research will yield two practical deliverables:</w:t>
      </w:r>
    </w:p>
    <w:p>
      <w:pPr>
        <w:numPr>
          <w:ilvl w:val="0"/>
          <w:numId w:val="1004"/>
        </w:numPr>
        <w:pStyle w:val="Compact"/>
      </w:pPr>
      <w:r>
        <w:t xml:space="preserve">A competency matrix tailored for Auditors in Indonesia Jakarta, mapping required skills (e.g., digital forensic tools, understanding of Jakarta’s e-commerce ecosystem) against current industry standards.</w:t>
      </w:r>
    </w:p>
    <w:p>
      <w:pPr>
        <w:numPr>
          <w:ilvl w:val="0"/>
          <w:numId w:val="1004"/>
        </w:numPr>
        <w:pStyle w:val="Compact"/>
      </w:pPr>
      <w:r>
        <w:t xml:space="preserve">An "Ethical Navigator" toolkit featuring role-play scenarios based on real Jakarta audit dilemmas (e.g., resolving conflicts when clients demand non-compliant financial reporting to meet Jakarta Stock Exchange targets).</w:t>
      </w:r>
    </w:p>
    <w:p>
      <w:pPr>
        <w:pStyle w:val="FirstParagraph"/>
      </w:pPr>
      <w:r>
        <w:t xml:space="preserve">These outcomes will be validated through workshops with the IAI and OJK’s Auditor Development Unit in Jakarta, ensuring immediate applicability.</w:t>
      </w:r>
    </w:p>
    <w:bookmarkEnd w:id="26"/>
    <w:bookmarkStart w:id="27" w:name="conclusion"/>
    <w:p>
      <w:pPr>
        <w:pStyle w:val="Heading2"/>
      </w:pPr>
      <w:r>
        <w:t xml:space="preserve">8. Conclusion</w:t>
      </w:r>
    </w:p>
    <w:p>
      <w:pPr>
        <w:pStyle w:val="FirstParagraph"/>
      </w:pPr>
      <w:r>
        <w:t xml:space="preserve">In Indonesia Jakarta’s high-stakes financial marketplace, the Auditor is not merely a technical role but a cornerstone of economic credibility. This Thesis Proposal confronts the urgent need to modernize Auditor professionalism through context-specific research, moving beyond generic frameworks to deliver actionable solutions for Jakarta’s unique challenges. By prioritizing local relevance—where every audit involves navigating Jakarta’s intricate regulatory maze—the study will empower Auditors to uphold integrity in a city that drives Indonesia’s economic engine. This work transcends academic contribution; it is a pragmatic step toward securing Indonesia Jakarta as a globally trusted financial center, where the Auditor’s role is synonymous with transparency, resilience, and growth.</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Auditor Professionalism in Indonesia Jakarta</dc:title>
  <dc:creator/>
  <dc:language>en</dc:language>
  <cp:keywords/>
  <dcterms:created xsi:type="dcterms:W3CDTF">2025-12-10T20:42:23Z</dcterms:created>
  <dcterms:modified xsi:type="dcterms:W3CDTF">2025-12-10T20:42:23Z</dcterms:modified>
</cp:coreProperties>
</file>

<file path=docProps/custom.xml><?xml version="1.0" encoding="utf-8"?>
<Properties xmlns="http://schemas.openxmlformats.org/officeDocument/2006/custom-properties" xmlns:vt="http://schemas.openxmlformats.org/officeDocument/2006/docPropsVTypes"/>
</file>