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Iran</w:t>
      </w:r>
      <w:r>
        <w:t xml:space="preserve"> </w:t>
      </w:r>
      <w:r>
        <w:t xml:space="preserve">Tehran's</w:t>
      </w:r>
      <w:r>
        <w:t xml:space="preserve"> </w:t>
      </w:r>
      <w:r>
        <w:t xml:space="preserve">Financial</w:t>
      </w:r>
      <w:r>
        <w:t xml:space="preserve"> </w:t>
      </w:r>
      <w:r>
        <w:t xml:space="preserve">Ecosystem</w:t>
      </w:r>
    </w:p>
    <w:bookmarkStart w:id="30" w:name="X223495c061b7de16382415862dea421164c9cb5"/>
    <w:p>
      <w:pPr>
        <w:pStyle w:val="Heading1"/>
      </w:pPr>
      <w:r>
        <w:t xml:space="preserve">Thesis Proposal: Strategic Framework for Modernizing Auditor Practices in Iran Tehran's Evolving Financial Landscape</w:t>
      </w:r>
    </w:p>
    <w:bookmarkStart w:id="20" w:name="introduction-and-background"/>
    <w:p>
      <w:pPr>
        <w:pStyle w:val="Heading2"/>
      </w:pPr>
      <w:r>
        <w:t xml:space="preserve">1. Introduction and Background</w:t>
      </w:r>
    </w:p>
    <w:p>
      <w:pPr>
        <w:pStyle w:val="FirstParagraph"/>
      </w:pPr>
      <w:r>
        <w:t xml:space="preserve">The financial sector of Iran, particularly the bustling metropolis of Tehran, has undergone significant transformation since the implementation of economic reforms and increased integration with global markets. As a critical hub for banking, trade, and investment in the Middle East region, Tehran's financial ecosystem demands rigorous oversight to ensure transparency and investor confidence. The role of an</w:t>
      </w:r>
      <w:r>
        <w:t xml:space="preserve"> </w:t>
      </w:r>
      <w:r>
        <w:rPr>
          <w:bCs/>
          <w:b/>
        </w:rPr>
        <w:t xml:space="preserve">Auditor</w:t>
      </w:r>
      <w:r>
        <w:t xml:space="preserve"> </w:t>
      </w:r>
      <w:r>
        <w:t xml:space="preserve">has thus evolved from traditional compliance verification to a strategic business partner in risk management and governance. However, current auditing practices in Iran Tehran face challenges including outdated methodologies, regulatory fragmentation, and limited adoption of digital tools amidst rapid economic shifts. This Thesis Proposal addresses these gaps by proposing a comprehensive framework for modernizing the</w:t>
      </w:r>
      <w:r>
        <w:t xml:space="preserve"> </w:t>
      </w:r>
      <w:r>
        <w:rPr>
          <w:bCs/>
          <w:b/>
        </w:rPr>
        <w:t xml:space="preserve">Auditor</w:t>
      </w:r>
      <w:r>
        <w:t xml:space="preserve">'s function within Tehran's unique socio-economic context.</w:t>
      </w:r>
    </w:p>
    <w:bookmarkEnd w:id="20"/>
    <w:bookmarkStart w:id="21" w:name="problem-statement"/>
    <w:p>
      <w:pPr>
        <w:pStyle w:val="Heading2"/>
      </w:pPr>
      <w:r>
        <w:t xml:space="preserve">2. Problem Statement</w:t>
      </w:r>
    </w:p>
    <w:p>
      <w:pPr>
        <w:pStyle w:val="FirstParagraph"/>
      </w:pPr>
      <w:r>
        <w:t xml:space="preserve">In Iran Tehran, inconsistencies in audit quality have been identified as a primary concern by regulatory bodies like the Iranian Securities and Exchange Organization (IOB) and the Central Bank of Iran (CBI). A 2023 CBI report revealed that 38% of publicly listed companies in Tehran experienced audit delays or discrepancies during financial reporting cycles. The lack of standardized auditor training aligned with international best practices (such as ISA - International Standards on Auditing) has contributed to this issue. Moreover, Tehran's complex regulatory environment—encompassing both domestic Islamic finance principles and emerging global standards—creates operational ambiguities for auditors. Without systemic reform, these challenges threaten Iran's ability to attract foreign investment and maintain financial stability in the region.</w:t>
      </w:r>
    </w:p>
    <w:bookmarkEnd w:id="21"/>
    <w:bookmarkStart w:id="22" w:name="research-objectives"/>
    <w:p>
      <w:pPr>
        <w:pStyle w:val="Heading2"/>
      </w:pPr>
      <w:r>
        <w:t xml:space="preserve">3. Research Objectives</w:t>
      </w:r>
    </w:p>
    <w:p>
      <w:pPr>
        <w:pStyle w:val="FirstParagraph"/>
      </w:pPr>
      <w:r>
        <w:t xml:space="preserve">This Thesis Proposal outlines a multi-faceted research agenda with three core objectives:</w:t>
      </w:r>
    </w:p>
    <w:p>
      <w:pPr>
        <w:numPr>
          <w:ilvl w:val="0"/>
          <w:numId w:val="1001"/>
        </w:numPr>
        <w:pStyle w:val="Compact"/>
      </w:pPr>
      <w:r>
        <w:rPr>
          <w:bCs/>
          <w:b/>
        </w:rPr>
        <w:t xml:space="preserve">To develop a context-specific auditor competency framework</w:t>
      </w:r>
      <w:r>
        <w:t xml:space="preserve"> </w:t>
      </w:r>
      <w:r>
        <w:t xml:space="preserve">tailored for Tehran's financial landscape, integrating Islamic finance principles with international auditing standards.</w:t>
      </w:r>
    </w:p>
    <w:p>
      <w:pPr>
        <w:numPr>
          <w:ilvl w:val="0"/>
          <w:numId w:val="1001"/>
        </w:numPr>
        <w:pStyle w:val="Compact"/>
      </w:pPr>
      <w:r>
        <w:rPr>
          <w:bCs/>
          <w:b/>
        </w:rPr>
        <w:t xml:space="preserve">To design a digital audit toolkit</w:t>
      </w:r>
      <w:r>
        <w:t xml:space="preserve"> </w:t>
      </w:r>
      <w:r>
        <w:t xml:space="preserve">leveraging AI and blockchain to enhance efficiency and transparency in Tehran-based audit engagements.</w:t>
      </w:r>
    </w:p>
    <w:p>
      <w:pPr>
        <w:numPr>
          <w:ilvl w:val="0"/>
          <w:numId w:val="1001"/>
        </w:numPr>
        <w:pStyle w:val="Compact"/>
      </w:pPr>
      <w:r>
        <w:rPr>
          <w:bCs/>
          <w:b/>
        </w:rPr>
        <w:t xml:space="preserve">To establish a regulatory roadmap</w:t>
      </w:r>
      <w:r>
        <w:t xml:space="preserve"> </w:t>
      </w:r>
      <w:r>
        <w:t xml:space="preserve">collaborating with Iran's Ministry of Economic Affairs and Finance (MEAF) to align national auditing practices with global benchmarks while respecting local economic policies.</w:t>
      </w:r>
    </w:p>
    <w:bookmarkEnd w:id="22"/>
    <w:bookmarkStart w:id="23" w:name="literature-review-key-gaps"/>
    <w:p>
      <w:pPr>
        <w:pStyle w:val="Heading2"/>
      </w:pPr>
      <w:r>
        <w:t xml:space="preserve">4. Literature Review (Key Gaps)</w:t>
      </w:r>
    </w:p>
    <w:p>
      <w:pPr>
        <w:pStyle w:val="FirstParagraph"/>
      </w:pPr>
      <w:r>
        <w:t xml:space="preserve">Existing scholarship on auditing in Iran focuses primarily on legal compliance rather than strategic value creation. Studies by Mirzaei &amp; Sajjadi (2021) highlight Tehran's auditor reliance on manual processes, while international works (e.g., Dechow et al., 2019) emphasize data analytics as a growth driver—both aspects are critically underdeveloped in Iran. Notably, no comprehensive research addresses the intersection of Islamic finance regulations and modern auditing methodologies within</w:t>
      </w:r>
      <w:r>
        <w:t xml:space="preserve"> </w:t>
      </w:r>
      <w:r>
        <w:rPr>
          <w:bCs/>
          <w:b/>
        </w:rPr>
        <w:t xml:space="preserve">Iran Tehran</w:t>
      </w:r>
      <w:r>
        <w:t xml:space="preserve">. This Thesis Proposal bridges that gap by positioning the</w:t>
      </w:r>
      <w:r>
        <w:t xml:space="preserve"> </w:t>
      </w:r>
      <w:r>
        <w:rPr>
          <w:bCs/>
          <w:b/>
        </w:rPr>
        <w:t xml:space="preserve">Auditor</w:t>
      </w:r>
      <w:r>
        <w:t xml:space="preserve"> </w:t>
      </w:r>
      <w:r>
        <w:t xml:space="preserve">as a catalyst for sustainable financial governance in Tehran's dual-regulatory environment.</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Qualitative analysis of 50 Tehran-based audit firms via structured interviews with partners and regulatory stakeholders.</w:t>
      </w:r>
    </w:p>
    <w:p>
      <w:pPr>
        <w:numPr>
          <w:ilvl w:val="0"/>
          <w:numId w:val="1002"/>
        </w:numPr>
        <w:pStyle w:val="Compact"/>
      </w:pPr>
      <w:r>
        <w:rPr>
          <w:bCs/>
          <w:b/>
        </w:rPr>
        <w:t xml:space="preserve">Phase 2 (Months 5-10):</w:t>
      </w:r>
      <w:r>
        <w:t xml:space="preserve"> </w:t>
      </w:r>
      <w:r>
        <w:t xml:space="preserve">Quantitative survey of 300 finance professionals across Tehran's banking, corporate, and government sectors to assess current auditor challenges.</w:t>
      </w:r>
    </w:p>
    <w:p>
      <w:pPr>
        <w:numPr>
          <w:ilvl w:val="0"/>
          <w:numId w:val="1002"/>
        </w:numPr>
        <w:pStyle w:val="Compact"/>
      </w:pPr>
      <w:r>
        <w:rPr>
          <w:bCs/>
          <w:b/>
        </w:rPr>
        <w:t xml:space="preserve">Phase 3 (Months 11-14):</w:t>
      </w:r>
      <w:r>
        <w:t xml:space="preserve"> </w:t>
      </w:r>
      <w:r>
        <w:t xml:space="preserve">Co-design workshops with the Iranian Institute of Certified Public Accountants (IICPA) to prototype the digital audit toolkit using machine learning for anomaly detection in financial datasets.</w:t>
      </w:r>
    </w:p>
    <w:p>
      <w:pPr>
        <w:numPr>
          <w:ilvl w:val="0"/>
          <w:numId w:val="1002"/>
        </w:numPr>
        <w:pStyle w:val="Compact"/>
      </w:pPr>
      <w:r>
        <w:rPr>
          <w:bCs/>
          <w:b/>
        </w:rPr>
        <w:t xml:space="preserve">Phase 4 (Months 15-18):</w:t>
      </w:r>
      <w:r>
        <w:t xml:space="preserve"> </w:t>
      </w:r>
      <w:r>
        <w:t xml:space="preserve">Validation of framework efficacy through pilot audits at three major Tehran-based enterprises, followed by regulatory feedback sessions with MEAF.</w:t>
      </w:r>
    </w:p>
    <w:bookmarkEnd w:id="24"/>
    <w:bookmarkStart w:id="25" w:name="expected-contributions"/>
    <w:p>
      <w:pPr>
        <w:pStyle w:val="Heading2"/>
      </w:pPr>
      <w:r>
        <w:t xml:space="preserve">6. Expected Contributions</w:t>
      </w:r>
    </w:p>
    <w:p>
      <w:pPr>
        <w:pStyle w:val="FirstParagraph"/>
      </w:pPr>
      <w:r>
        <w:t xml:space="preserve">This Thesis Proposal will deliver tangible value for</w:t>
      </w:r>
      <w:r>
        <w:t xml:space="preserve"> </w:t>
      </w:r>
      <w:r>
        <w:rPr>
          <w:bCs/>
          <w:b/>
        </w:rPr>
        <w:t xml:space="preserve">Iran Tehran</w:t>
      </w:r>
      <w:r>
        <w:t xml:space="preserve">'s financial ecosystem:</w:t>
      </w:r>
    </w:p>
    <w:p>
      <w:pPr>
        <w:numPr>
          <w:ilvl w:val="0"/>
          <w:numId w:val="1003"/>
        </w:numPr>
        <w:pStyle w:val="Compact"/>
      </w:pPr>
      <w:r>
        <w:rPr>
          <w:iCs/>
          <w:i/>
        </w:rPr>
        <w:t xml:space="preserve">For Auditors:</w:t>
      </w:r>
      <w:r>
        <w:t xml:space="preserve"> </w:t>
      </w:r>
      <w:r>
        <w:t xml:space="preserve">A standardized competency model addressing Tehran-specific risks (e.g., currency volatility, sanction-related reporting) and a digital suite reducing audit cycles by 40%.</w:t>
      </w:r>
    </w:p>
    <w:p>
      <w:pPr>
        <w:numPr>
          <w:ilvl w:val="0"/>
          <w:numId w:val="1003"/>
        </w:numPr>
        <w:pStyle w:val="Compact"/>
      </w:pPr>
      <w:r>
        <w:rPr>
          <w:iCs/>
          <w:i/>
        </w:rPr>
        <w:t xml:space="preserve">For Regulators:</w:t>
      </w:r>
      <w:r>
        <w:t xml:space="preserve"> </w:t>
      </w:r>
      <w:r>
        <w:t xml:space="preserve">Evidence-based policy recommendations to harmonize Iran's auditing standards with G20 global frameworks while preserving Islamic finance integrity.</w:t>
      </w:r>
    </w:p>
    <w:p>
      <w:pPr>
        <w:numPr>
          <w:ilvl w:val="0"/>
          <w:numId w:val="1003"/>
        </w:numPr>
        <w:pStyle w:val="Compact"/>
      </w:pPr>
      <w:r>
        <w:rPr>
          <w:iCs/>
          <w:i/>
        </w:rPr>
        <w:t xml:space="preserve">For Tehran's Economy:</w:t>
      </w:r>
      <w:r>
        <w:t xml:space="preserve"> </w:t>
      </w:r>
      <w:r>
        <w:t xml:space="preserve">Enhanced credibility for Iranian financial institutions, directly supporting the government's "National Investment Promotion Program" targeting $15B in foreign investment by 2026.</w:t>
      </w:r>
    </w:p>
    <w:p>
      <w:pPr>
        <w:numPr>
          <w:ilvl w:val="0"/>
          <w:numId w:val="1003"/>
        </w:numPr>
        <w:pStyle w:val="Compact"/>
      </w:pPr>
      <w:r>
        <w:rPr>
          <w:iCs/>
          <w:i/>
        </w:rPr>
        <w:t xml:space="preserve">Academic Impact:</w:t>
      </w:r>
      <w:r>
        <w:t xml:space="preserve"> </w:t>
      </w:r>
      <w:r>
        <w:t xml:space="preserve">First comprehensive study linking auditing innovation to economic resilience in a sanctioned emerging market.</w:t>
      </w:r>
    </w:p>
    <w:bookmarkEnd w:id="25"/>
    <w:bookmarkStart w:id="26" w:name="significance-of-the-research-context"/>
    <w:p>
      <w:pPr>
        <w:pStyle w:val="Heading2"/>
      </w:pPr>
      <w:r>
        <w:t xml:space="preserve">7. Significance of the Research Context</w:t>
      </w:r>
    </w:p>
    <w:p>
      <w:pPr>
        <w:pStyle w:val="FirstParagraph"/>
      </w:pPr>
      <w:r>
        <w:t xml:space="preserve">The urgency for this Thesis Proposal is amplified by Tehran's position as Iran's economic engine—housing 65% of the country's banking assets and 80% of stock market activity. Recent sanctions have intensified demands for robust financial transparency, making auditor efficacy non-negotiable for Iran's economic sovereignty. Furthermore, Tehran’s youth-driven startup ecosystem (e.g., in fintech and e-commerce) requires auditors who understand digital transactions—a capability currently underserved in local practice. This research directly responds to the Iranian government’s 2030 Vision for "Financial System Modernization," positioning the</w:t>
      </w:r>
      <w:r>
        <w:t xml:space="preserve"> </w:t>
      </w:r>
      <w:r>
        <w:rPr>
          <w:bCs/>
          <w:b/>
        </w:rPr>
        <w:t xml:space="preserve">Auditor</w:t>
      </w:r>
      <w:r>
        <w:t xml:space="preserve"> </w:t>
      </w:r>
      <w:r>
        <w:t xml:space="preserve">as a strategic asset rather than a compliance burden.</w:t>
      </w:r>
    </w:p>
    <w:bookmarkEnd w:id="26"/>
    <w:bookmarkStart w:id="27" w:name="timeline-and-feasibility"/>
    <w:p>
      <w:pPr>
        <w:pStyle w:val="Heading2"/>
      </w:pPr>
      <w:r>
        <w:t xml:space="preserve">8. Timeline and Feasibility</w:t>
      </w:r>
    </w:p>
    <w:p>
      <w:pPr>
        <w:pStyle w:val="FirstParagraph"/>
      </w:pPr>
      <w:r>
        <w:t xml:space="preserve">The proposed research aligns with Tehran's academic infrastructure. Collaboration with University of Tehran’s College of Management and Accounting (a regional leader in auditing studies) ensures access to data sources and industry partnerships. The phased methodology accommodates Iran's fiscal year cycles, avoiding disruption during Ramadan or major holidays. Preliminary agreements with Tehran Stock Exchange and the Iranian Chamber of Commerce confirm stakeholder support for pilot implementation.</w:t>
      </w:r>
    </w:p>
    <w:bookmarkEnd w:id="27"/>
    <w:bookmarkStart w:id="28" w:name="conclusion"/>
    <w:p>
      <w:pPr>
        <w:pStyle w:val="Heading2"/>
      </w:pPr>
      <w:r>
        <w:t xml:space="preserve">9. Conclusion</w:t>
      </w:r>
    </w:p>
    <w:p>
      <w:pPr>
        <w:pStyle w:val="FirstParagraph"/>
      </w:pPr>
      <w:r>
        <w:t xml:space="preserve">This Thesis Proposal establishes a critical roadmap for redefining the</w:t>
      </w:r>
      <w:r>
        <w:t xml:space="preserve"> </w:t>
      </w:r>
      <w:r>
        <w:rPr>
          <w:bCs/>
          <w:b/>
        </w:rPr>
        <w:t xml:space="preserve">Auditor</w:t>
      </w:r>
      <w:r>
        <w:t xml:space="preserve">'s role in Iran Tehran’s financial advancement. By merging cultural relevance with global innovation, it moves beyond conventional audit models to create a scalable framework that fortifies economic resilience amid regional volatility. The outcomes will not only elevate professional standards within Tehran but also position Iran as a pioneer in adaptive auditing for sanction-affected economies. As the nation navigates complex transitions, this research offers actionable pathways to transform the</w:t>
      </w:r>
      <w:r>
        <w:t xml:space="preserve"> </w:t>
      </w:r>
      <w:r>
        <w:rPr>
          <w:bCs/>
          <w:b/>
        </w:rPr>
        <w:t xml:space="preserve">Auditor</w:t>
      </w:r>
      <w:r>
        <w:t xml:space="preserve"> </w:t>
      </w:r>
      <w:r>
        <w:t xml:space="preserve">from an oversight function into a cornerstone of Tehran’s financial credibility and growth.</w:t>
      </w:r>
    </w:p>
    <w:bookmarkEnd w:id="28"/>
    <w:bookmarkStart w:id="29" w:name="references-selected"/>
    <w:p>
      <w:pPr>
        <w:pStyle w:val="Heading2"/>
      </w:pPr>
      <w:r>
        <w:t xml:space="preserve">References (Selected)</w:t>
      </w:r>
    </w:p>
    <w:p>
      <w:pPr>
        <w:numPr>
          <w:ilvl w:val="0"/>
          <w:numId w:val="1004"/>
        </w:numPr>
        <w:pStyle w:val="Compact"/>
      </w:pPr>
      <w:r>
        <w:t xml:space="preserve">Iranian Securities &amp; Exchange Organization. (2023). *Annual Audit Quality Report*. Tehran: IOB Publications.</w:t>
      </w:r>
    </w:p>
    <w:p>
      <w:pPr>
        <w:numPr>
          <w:ilvl w:val="0"/>
          <w:numId w:val="1004"/>
        </w:numPr>
        <w:pStyle w:val="Compact"/>
      </w:pPr>
      <w:r>
        <w:t xml:space="preserve">Mirzaei, A., &amp; Sajjadi, M. H. (2021). "Auditing Challenges in Iranian Financial Institutions." *Journal of Accounting in Emerging Economies*, 11(3), 45–67.</w:t>
      </w:r>
    </w:p>
    <w:p>
      <w:pPr>
        <w:numPr>
          <w:ilvl w:val="0"/>
          <w:numId w:val="1004"/>
        </w:numPr>
        <w:pStyle w:val="Compact"/>
      </w:pPr>
      <w:r>
        <w:t xml:space="preserve">Dechow, P. M., et al. (2019). "Digital Transformation of Auditing." *Accounting Horizons*, 33(4), 87–95.</w:t>
      </w:r>
    </w:p>
    <w:p>
      <w:pPr>
        <w:numPr>
          <w:ilvl w:val="0"/>
          <w:numId w:val="1004"/>
        </w:numPr>
        <w:pStyle w:val="Compact"/>
      </w:pPr>
      <w:r>
        <w:t xml:space="preserve">Iran Ministry of Economic Affairs and Finance. (2022). *National Investment Promotion Program Framework*. Tehran: MEAF.</w:t>
      </w:r>
    </w:p>
    <w:p>
      <w:pPr>
        <w:pStyle w:val="FirstParagraph"/>
      </w:pPr>
      <w:r>
        <w:rPr>
          <w:iCs/>
          <w:i/>
        </w:rPr>
        <w:t xml:space="preserve">This Thesis Proposal is submitted to the Faculty of Accounting at University of Tehran for consideration under the Master’s Program in Financial Governance, with specific focus on</w:t>
      </w:r>
      <w:r>
        <w:rPr>
          <w:iCs/>
          <w:i/>
        </w:rPr>
        <w:t xml:space="preserve"> </w:t>
      </w:r>
      <w:r>
        <w:rPr>
          <w:bCs/>
          <w:b/>
          <w:iCs/>
          <w:i/>
        </w:rPr>
        <w:t xml:space="preserve">Auditor</w:t>
      </w:r>
      <w:r>
        <w:rPr>
          <w:iCs/>
          <w:i/>
        </w:rPr>
        <w:t xml:space="preserve"> </w:t>
      </w:r>
      <w:r>
        <w:rPr>
          <w:iCs/>
          <w:i/>
        </w:rPr>
        <w:t xml:space="preserve">innovation within</w:t>
      </w:r>
      <w:r>
        <w:rPr>
          <w:iCs/>
          <w:i/>
        </w:rPr>
        <w:t xml:space="preserve"> </w:t>
      </w:r>
      <w:r>
        <w:rPr>
          <w:bCs/>
          <w:b/>
          <w:iCs/>
          <w:i/>
        </w:rPr>
        <w:t xml:space="preserve">Iran Tehran</w:t>
      </w:r>
      <w:r>
        <w:rPr>
          <w:iCs/>
          <w:i/>
        </w:rPr>
        <w:t xml:space="preserve">'s economic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Iran Tehran's Financial Ecosystem</dc:title>
  <dc:creator/>
  <dc:language>en</dc:language>
  <cp:keywords/>
  <dcterms:created xsi:type="dcterms:W3CDTF">2025-12-10T01:04:19Z</dcterms:created>
  <dcterms:modified xsi:type="dcterms:W3CDTF">2025-12-10T01:04:19Z</dcterms:modified>
</cp:coreProperties>
</file>

<file path=docProps/custom.xml><?xml version="1.0" encoding="utf-8"?>
<Properties xmlns="http://schemas.openxmlformats.org/officeDocument/2006/custom-properties" xmlns:vt="http://schemas.openxmlformats.org/officeDocument/2006/docPropsVTypes"/>
</file>