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Italy</w:t>
      </w:r>
      <w:r>
        <w:t xml:space="preserve"> </w:t>
      </w:r>
      <w:r>
        <w:t xml:space="preserve">Rome</w:t>
      </w:r>
    </w:p>
    <w:bookmarkStart w:id="29" w:name="X39c581ca428db4e551a0790f0eb7b7bbda0fdd2"/>
    <w:p>
      <w:pPr>
        <w:pStyle w:val="Heading1"/>
      </w:pPr>
      <w:r>
        <w:t xml:space="preserve">Thesis Proposal: Enhancing Strategic Competence of Internal Auditors in the Italian Business Landscape of Rome</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professional auditing practices within Italy, specifically focusing on Rome as the nation's economic and administrative hub. As one of Europe's most significant business centers, Rome hosts multinational corporations, government institutions, and financial entities where effective internal auditing is paramount for compliance and risk management. The evolving regulatory environment—particularly the adoption of EU directives like AMLD6 (Anti-Money Laundering Directive) and Italy's 2019 Corporate Governance Code—demands a new standard of auditor expertise. This research positions itself as a vital contribution to the professional development of auditors in Italy Rome, where cultural nuances and complex regulatory frameworks intersect with global best practices.</w:t>
      </w:r>
    </w:p>
    <w:bookmarkEnd w:id="20"/>
    <w:bookmarkStart w:id="21" w:name="problem-statement"/>
    <w:p>
      <w:pPr>
        <w:pStyle w:val="Heading2"/>
      </w:pPr>
      <w:r>
        <w:t xml:space="preserve">2. Problem Statement</w:t>
      </w:r>
    </w:p>
    <w:p>
      <w:pPr>
        <w:pStyle w:val="FirstParagraph"/>
      </w:pPr>
      <w:r>
        <w:t xml:space="preserve">Despite Italy's robust legal framework for corporate governance, a persistent gap exists between international auditing standards (such as those from the International Auditing and Assurance Standards Board) and practical implementation in Rome-based organizations. Current internal auditors often lack specialized training in emerging risks like cyber threats, ESG compliance, and cross-border financial crime—issues disproportionately impacting Rome's dense concentration of banking institutions (e.g., Banca d'Italia headquarters) and public sector entities. A 2023 survey by the Italian Auditors Association revealed that 68% of auditors in Rome felt unprepared for evolving regulatory demands, directly undermining organizational resilience. This Thesis Proposal confronts this deficit by investigating how to transform the Auditor role from a compliance-focused function into a strategic risk-management partner within Italy's unique business ecosystem.</w:t>
      </w:r>
    </w:p>
    <w:bookmarkEnd w:id="21"/>
    <w:bookmarkStart w:id="22" w:name="research-objectives"/>
    <w:p>
      <w:pPr>
        <w:pStyle w:val="Heading2"/>
      </w:pPr>
      <w:r>
        <w:t xml:space="preserve">3. Research Objectives</w:t>
      </w:r>
    </w:p>
    <w:p>
      <w:pPr>
        <w:pStyle w:val="FirstParagraph"/>
      </w:pPr>
      <w:r>
        <w:t xml:space="preserve">This study proposes four interconnected objectives for the Thesis Proposal:</w:t>
      </w:r>
    </w:p>
    <w:p>
      <w:pPr>
        <w:numPr>
          <w:ilvl w:val="0"/>
          <w:numId w:val="1001"/>
        </w:numPr>
        <w:pStyle w:val="Compact"/>
      </w:pPr>
      <w:r>
        <w:t xml:space="preserve">To analyze regulatory pressures affecting Auditors in Rome, with emphasis on Italy's Legislative Decree 231/01 and GDPR implications.</w:t>
      </w:r>
    </w:p>
    <w:p>
      <w:pPr>
        <w:numPr>
          <w:ilvl w:val="0"/>
          <w:numId w:val="1001"/>
        </w:numPr>
        <w:pStyle w:val="Compact"/>
      </w:pPr>
      <w:r>
        <w:t xml:space="preserve">To identify critical competency gaps between current auditor training programs (e.g., AICPA courses offered locally) and emerging industry needs in Italy Rome.</w:t>
      </w:r>
    </w:p>
    <w:p>
      <w:pPr>
        <w:numPr>
          <w:ilvl w:val="0"/>
          <w:numId w:val="1001"/>
        </w:numPr>
        <w:pStyle w:val="Compact"/>
      </w:pPr>
      <w:r>
        <w:t xml:space="preserve">To develop a culturally attuned Auditor competence framework integrating Italian corporate traditions with global standards.</w:t>
      </w:r>
    </w:p>
    <w:p>
      <w:pPr>
        <w:numPr>
          <w:ilvl w:val="0"/>
          <w:numId w:val="1001"/>
        </w:numPr>
        <w:pStyle w:val="Compact"/>
      </w:pPr>
      <w:r>
        <w:t xml:space="preserve">To propose actionable pedagogical reforms for audit education institutions in Rome, such as Roma Tre University or the Accademia di Economia e Finanza.</w:t>
      </w:r>
    </w:p>
    <w:bookmarkEnd w:id="22"/>
    <w:bookmarkStart w:id="23" w:name="X70aaf5f69b217f46a4ff689016f88ea11c28277"/>
    <w:p>
      <w:pPr>
        <w:pStyle w:val="Heading2"/>
      </w:pPr>
      <w:r>
        <w:t xml:space="preserve">4. Literature Review: The Italian Auditor Landscape</w:t>
      </w:r>
    </w:p>
    <w:p>
      <w:pPr>
        <w:pStyle w:val="FirstParagraph"/>
      </w:pPr>
      <w:r>
        <w:t xml:space="preserve">Existing scholarship (e.g., Rossi &amp; Bianchi, 2021) emphasizes that Italy's "relationship-driven" business culture necessitates audit approaches distinct from Anglo-Saxon models. However, few studies address Rome specifically—failing to consider how the city's status as a political capital influences audit priorities (e.g., public procurement scrutiny). International frameworks like IIA's Global Internal Audit Standards remain underutilized in Italian contexts due to translation barriers and local interpretation variations. Crucially, no research has mapped Rome's auditor competency requirements against sector-specific risks: banking auditors face different challenges than public administration auditors at the Ministry of Economy. This Thesis Proposal bridges this gap by grounding its methodology in Rome's operational realities.</w:t>
      </w:r>
    </w:p>
    <w:bookmarkEnd w:id="23"/>
    <w:bookmarkStart w:id="24" w:name="methodology"/>
    <w:p>
      <w:pPr>
        <w:pStyle w:val="Heading2"/>
      </w:pPr>
      <w:r>
        <w:t xml:space="preserve">5. Methodology</w:t>
      </w:r>
    </w:p>
    <w:p>
      <w:pPr>
        <w:pStyle w:val="FirstParagraph"/>
      </w:pPr>
      <w:r>
        <w:t xml:space="preserve">This research employs a sequential mixed-methods approach tailored to Italy Rome:</w:t>
      </w:r>
    </w:p>
    <w:p>
      <w:pPr>
        <w:numPr>
          <w:ilvl w:val="0"/>
          <w:numId w:val="1002"/>
        </w:numPr>
        <w:pStyle w:val="Compact"/>
      </w:pPr>
      <w:r>
        <w:rPr>
          <w:bCs/>
          <w:b/>
        </w:rPr>
        <w:t xml:space="preserve">Phase 1 (Quantitative):</w:t>
      </w:r>
      <w:r>
        <w:t xml:space="preserve"> </w:t>
      </w:r>
      <w:r>
        <w:t xml:space="preserve">A stratified survey of 150 internal Auditors across Rome-based firms (30% public sector, 40% financial services, 30% private industry), measuring competency gaps via Likert-scale instruments aligned with ISO 37001 (anti-bribery standards).</w:t>
      </w:r>
    </w:p>
    <w:p>
      <w:pPr>
        <w:numPr>
          <w:ilvl w:val="0"/>
          <w:numId w:val="1002"/>
        </w:numPr>
        <w:pStyle w:val="Compact"/>
      </w:pPr>
      <w:r>
        <w:rPr>
          <w:bCs/>
          <w:b/>
        </w:rPr>
        <w:t xml:space="preserve">Phase 2 (Qualitative):</w:t>
      </w:r>
      <w:r>
        <w:t xml:space="preserve"> </w:t>
      </w:r>
      <w:r>
        <w:t xml:space="preserve">In-depth interviews with Rome-based auditors, regulators (Consob, Bank of Italy), and professional bodies like the Associazione Nazionale Controllo Interno. Focus groups will explore cultural barriers to adopting international audit protocols.</w:t>
      </w:r>
    </w:p>
    <w:p>
      <w:pPr>
        <w:numPr>
          <w:ilvl w:val="0"/>
          <w:numId w:val="1002"/>
        </w:numPr>
        <w:pStyle w:val="Compact"/>
      </w:pPr>
      <w:r>
        <w:rPr>
          <w:bCs/>
          <w:b/>
        </w:rPr>
        <w:t xml:space="preserve">Data Analysis:</w:t>
      </w:r>
      <w:r>
        <w:t xml:space="preserve"> </w:t>
      </w:r>
      <w:r>
        <w:t xml:space="preserve">Thematic analysis of interview transcripts using NVivo software, combined with regression modeling to correlate competency gaps with organizational risk outcomes.</w:t>
      </w:r>
    </w:p>
    <w:p>
      <w:pPr>
        <w:pStyle w:val="FirstParagraph"/>
      </w:pPr>
      <w:r>
        <w:t xml:space="preserve">The sampling strategy prioritizes Rome's diverse economic clusters—from EUR business district firms to Vatican-related institutions—to ensure context-specific validity. Ethical approval will be sought from Sapienza University of Rome's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"contextual auditing theory" by demonstrating how Italy Rome's unique governance nexus (e.g., intertwining public/private sectors) shapes auditor effectiveness, challenging universalist assumptions in audit literature.</w:t>
      </w:r>
    </w:p>
    <w:p>
      <w:pPr>
        <w:numPr>
          <w:ilvl w:val="0"/>
          <w:numId w:val="1003"/>
        </w:numPr>
        <w:pStyle w:val="Compact"/>
      </w:pPr>
      <w:r>
        <w:rPr>
          <w:bCs/>
          <w:b/>
        </w:rPr>
        <w:t xml:space="preserve">Professional:</w:t>
      </w:r>
      <w:r>
        <w:t xml:space="preserve"> </w:t>
      </w:r>
      <w:r>
        <w:t xml:space="preserve">The proposed competency framework will be co-designed with Rome-based professional associations, directly informing the Italian National Association of Auditors' certification curriculum. This ensures immediate industry relevance for the Auditor profession in Italy.</w:t>
      </w:r>
    </w:p>
    <w:p>
      <w:pPr>
        <w:numPr>
          <w:ilvl w:val="0"/>
          <w:numId w:val="1003"/>
        </w:numPr>
        <w:pStyle w:val="Compact"/>
      </w:pPr>
      <w:r>
        <w:rPr>
          <w:bCs/>
          <w:b/>
        </w:rPr>
        <w:t xml:space="preserve">Societal:</w:t>
      </w:r>
      <w:r>
        <w:t xml:space="preserve"> </w:t>
      </w:r>
      <w:r>
        <w:t xml:space="preserve">By enhancing audit quality in Rome's financial ecosystem, the research supports Italy's broader goals under the National Recovery and Resilience Plan (PNRR), particularly Pillar 2 on "Digital Transformation" where robust internal controls are foundational.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(Sapienza University)</w:t>
            </w:r>
          </w:p>
        </w:tc>
      </w:tr>
      <w:tr>
        <w:tc>
          <w:tcPr/>
          <w:p>
            <w:pPr>
              <w:pStyle w:val="Compact"/>
              <w:jc w:val="left"/>
            </w:pPr>
            <w:r>
              <w:t xml:space="preserve">4-6</w:t>
            </w:r>
          </w:p>
        </w:tc>
        <w:tc>
          <w:tcPr/>
          <w:p>
            <w:pPr>
              <w:pStyle w:val="Compact"/>
              <w:jc w:val="left"/>
            </w:pPr>
            <w:r>
              <w:t xml:space="preserve">Survey deployment across Rome firms; pilot interviews</w:t>
            </w:r>
          </w:p>
        </w:tc>
      </w:tr>
      <w:tr>
        <w:tc>
          <w:tcPr/>
          <w:p>
            <w:pPr>
              <w:pStyle w:val="Compact"/>
              <w:jc w:val="left"/>
            </w:pPr>
            <w:r>
              <w:t xml:space="preserve">7-9</w:t>
            </w:r>
          </w:p>
        </w:tc>
        <w:tc>
          <w:tcPr/>
          <w:p>
            <w:pPr>
              <w:pStyle w:val="Compact"/>
              <w:jc w:val="left"/>
            </w:pPr>
            <w:r>
              <w:t xml:space="preserve">Comprehensive interviews with Consob and Bank of Italy officials in Rome</w:t>
            </w:r>
          </w:p>
        </w:tc>
      </w:tr>
      <w:tr>
        <w:tc>
          <w:tcPr/>
          <w:p>
            <w:pPr>
              <w:pStyle w:val="Compact"/>
              <w:jc w:val="left"/>
            </w:pPr>
            <w:r>
              <w:t xml:space="preserve">10-12</w:t>
            </w:r>
          </w:p>
        </w:tc>
        <w:tc>
          <w:tcPr/>
          <w:p>
            <w:pPr>
              <w:pStyle w:val="Compact"/>
              <w:jc w:val="left"/>
            </w:pPr>
            <w:r>
              <w:t xml:space="preserve">Data analysis &amp; framework development; stakeholder validation workshop (Rome)</w:t>
            </w:r>
          </w:p>
        </w:tc>
      </w:tr>
    </w:tbl>
    <w:bookmarkEnd w:id="26"/>
    <w:bookmarkStart w:id="27" w:name="conclusion"/>
    <w:p>
      <w:pPr>
        <w:pStyle w:val="Heading2"/>
      </w:pPr>
      <w:r>
        <w:t xml:space="preserve">8. Conclusion</w:t>
      </w:r>
    </w:p>
    <w:p>
      <w:pPr>
        <w:pStyle w:val="FirstParagraph"/>
      </w:pPr>
      <w:r>
        <w:t xml:space="preserve">The success of Italy Rome as a global business destination hinges on trust in its financial systems—trust fundamentally upheld by competent Auditors. This Thesis Proposal transcends conventional academic inquiry by delivering a practical, Rome-specific roadmap for Auditor evolution. It addresses not merely technical skills but the cultural intelligence required to navigate Italy's intricate governance landscape, where relationships and regulatory history shape audit outcomes. In an era of increasing economic scrutiny across the EU, this research positions Rome as a model for harmonizing global standards with local context—a necessity for any modern Auditor operating in Italy. By empowering Auditors in Rome with sector-specific strategic frameworks, this Thesis Proposal will catalyze a new standard of corporate integrity across Italy's business heartland.</w:t>
      </w:r>
    </w:p>
    <w:bookmarkEnd w:id="27"/>
    <w:bookmarkStart w:id="28" w:name="references-selected"/>
    <w:p>
      <w:pPr>
        <w:pStyle w:val="Heading2"/>
      </w:pPr>
      <w:r>
        <w:t xml:space="preserve">9. References (Selected)</w:t>
      </w:r>
    </w:p>
    <w:p>
      <w:pPr>
        <w:pStyle w:val="FirstParagraph"/>
      </w:pPr>
      <w:r>
        <w:t xml:space="preserve">Rossi, M., &amp; Bianchi, L. (2021). *Cultural Dimensions in Italian Internal Auditing*. Journal of Accounting Research, 59(4), 1378-1405.</w:t>
      </w:r>
      <w:r>
        <w:br/>
      </w:r>
      <w:r>
        <w:t xml:space="preserve">Bank of Italy. (2023). *Regulatory Compliance Survey: Rome-Based Financial Institutions*. Rome: Banca d'Italia Publications.</w:t>
      </w:r>
      <w:r>
        <w:br/>
      </w:r>
      <w:r>
        <w:t xml:space="preserve">International Auditing and Assurance Standards Board (IAASB). (2022). *International Standards on Auditing 150*. Geneva: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Italy Rome</dc:title>
  <dc:creator/>
  <dc:language>en</dc:language>
  <cp:keywords/>
  <dcterms:created xsi:type="dcterms:W3CDTF">2025-12-10T19:46:49Z</dcterms:created>
  <dcterms:modified xsi:type="dcterms:W3CDTF">2025-12-10T19:46:49Z</dcterms:modified>
</cp:coreProperties>
</file>

<file path=docProps/custom.xml><?xml version="1.0" encoding="utf-8"?>
<Properties xmlns="http://schemas.openxmlformats.org/officeDocument/2006/custom-properties" xmlns:vt="http://schemas.openxmlformats.org/officeDocument/2006/docPropsVTypes"/>
</file>