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Auditing</w:t>
      </w:r>
      <w:r>
        <w:t xml:space="preserve"> </w:t>
      </w:r>
      <w:r>
        <w:t xml:space="preserve">Practices</w:t>
      </w:r>
      <w:r>
        <w:t xml:space="preserve"> </w:t>
      </w:r>
      <w:r>
        <w:t xml:space="preserve">in</w:t>
      </w:r>
      <w:r>
        <w:t xml:space="preserve"> </w:t>
      </w:r>
      <w:r>
        <w:t xml:space="preserve">Kyoto's</w:t>
      </w:r>
      <w:r>
        <w:t xml:space="preserve"> </w:t>
      </w:r>
      <w:r>
        <w:t xml:space="preserve">Unique</w:t>
      </w:r>
      <w:r>
        <w:t xml:space="preserve"> </w:t>
      </w:r>
      <w:r>
        <w:t xml:space="preserve">Economic</w:t>
      </w:r>
      <w:r>
        <w:t xml:space="preserve"> </w:t>
      </w:r>
      <w:r>
        <w:t xml:space="preserve">Ecosystem</w:t>
      </w:r>
    </w:p>
    <w:bookmarkStart w:id="20" w:name="Xec53890d4731b85f63d0cc78c4250ff786cf10e"/>
    <w:p>
      <w:pPr>
        <w:pStyle w:val="Heading1"/>
      </w:pPr>
      <w:r>
        <w:t xml:space="preserve">Thesis Proposal: Developing a Culturally Attuned Auditor Framework for Small and Medium Enterprises in Japan Kyoto</w:t>
      </w:r>
    </w:p>
    <w:p>
      <w:pPr>
        <w:pStyle w:val="FirstParagraph"/>
      </w:pPr>
      <w:r>
        <w:rPr>
          <w:bCs/>
          <w:b/>
        </w:rPr>
        <w:t xml:space="preserve">Introduction and Context:</w:t>
      </w:r>
      <w:r>
        <w:t xml:space="preserve"> </w:t>
      </w:r>
      <w:r>
        <w:t xml:space="preserve">In the heart of historic Japan Kyoto, where traditional craftsmanship meets modern economic innovation, a critical gap exists in financial oversight. This Thesis Proposal outlines research to redefine the role of the</w:t>
      </w:r>
      <w:r>
        <w:t xml:space="preserve"> </w:t>
      </w:r>
      <w:r>
        <w:rPr>
          <w:iCs/>
          <w:i/>
        </w:rPr>
        <w:t xml:space="preserve">Auditor</w:t>
      </w:r>
      <w:r>
        <w:t xml:space="preserve"> </w:t>
      </w:r>
      <w:r>
        <w:t xml:space="preserve">within Kyoto's distinctive business landscape. While Japan's national accounting standards align with international frameworks, they often overlook the cultural and operational nuances of Kyoto's SMEs—particularly those rooted in heritage industries (textiles, ceramics, hospitality) and seasonal tourism-driven enterprises. This research addresses a pressing need: how can an</w:t>
      </w:r>
      <w:r>
        <w:t xml:space="preserve"> </w:t>
      </w:r>
      <w:r>
        <w:rPr>
          <w:iCs/>
          <w:i/>
        </w:rPr>
        <w:t xml:space="preserve">Auditor</w:t>
      </w:r>
      <w:r>
        <w:t xml:space="preserve"> </w:t>
      </w:r>
      <w:r>
        <w:t xml:space="preserve">effectively serve businesses whose financial health is deeply intertwined with Kyoto’s cultural identity and cyclical economic rhythms? The proposed study will develop a culturally responsive auditing methodology specifically designed for Japan Kyoto's unique market context.</w:t>
      </w:r>
    </w:p>
    <w:p>
      <w:pPr>
        <w:pStyle w:val="BodyText"/>
      </w:pPr>
      <w:r>
        <w:rPr>
          <w:bCs/>
          <w:b/>
        </w:rPr>
        <w:t xml:space="preserve">Problem Statement:</w:t>
      </w:r>
      <w:r>
        <w:t xml:space="preserve"> </w:t>
      </w:r>
      <w:r>
        <w:t xml:space="preserve">Current audit practices in Japan, largely modeled after Tokyo-centric corporate structures, fail to address the operational realities of Kyoto's 78% SME-dominated economy. For instance, many Kyoto-based businesses (e.g., Nishiki Market vendors, Gion district ryokans) operate on seasonal cash flows tied to festivals like Gion Matsuri or cherry blossom tourism—patterns absent in standard audit checklists. Furthermore, the concept of "wa" (harmony) influences decision-making and financial reporting transparency differently than Western business models. Traditional</w:t>
      </w:r>
      <w:r>
        <w:t xml:space="preserve"> </w:t>
      </w:r>
      <w:r>
        <w:rPr>
          <w:iCs/>
          <w:i/>
        </w:rPr>
        <w:t xml:space="preserve">Auditor</w:t>
      </w:r>
      <w:r>
        <w:t xml:space="preserve"> </w:t>
      </w:r>
      <w:r>
        <w:t xml:space="preserve">approaches often prioritize compliance over contextual understanding, leading to misdiagnosed risks, unnecessary costs for small businesses, and potential regulatory non-compliance during Kyoto’s peak tourist seasons. Recent surveys by the Kyoto Chamber of Commerce (2023) indicate 63% of local SMEs feel current audits do not reflect their business realities.</w:t>
      </w:r>
    </w:p>
    <w:p>
      <w:pPr>
        <w:pStyle w:val="BodyText"/>
      </w:pPr>
      <w:r>
        <w:rPr>
          <w:bCs/>
          <w:b/>
        </w:rPr>
        <w:t xml:space="preserve">Research Objectives:</w:t>
      </w:r>
      <w:r>
        <w:t xml:space="preserve"> </w:t>
      </w:r>
      <w:r>
        <w:t xml:space="preserve">This Thesis Proposal seeks to:</w:t>
      </w:r>
    </w:p>
    <w:p>
      <w:pPr>
        <w:numPr>
          <w:ilvl w:val="0"/>
          <w:numId w:val="1001"/>
        </w:numPr>
        <w:pStyle w:val="Compact"/>
      </w:pPr>
      <w:r>
        <w:t xml:space="preserve">Map the cultural, economic, and operational variables unique to Kyoto’s business ecosystem (e.g., artisanal supply chains, tourism dependency).</w:t>
      </w:r>
    </w:p>
    <w:p>
      <w:pPr>
        <w:numPr>
          <w:ilvl w:val="0"/>
          <w:numId w:val="1001"/>
        </w:numPr>
        <w:pStyle w:val="Compact"/>
      </w:pPr>
      <w:r>
        <w:t xml:space="preserve">Identify specific audit gaps through fieldwork with 30+ SMEs across Kyoto’s key districts (Gion, Pontocho, Nishiki Market).</w:t>
      </w:r>
    </w:p>
    <w:p>
      <w:pPr>
        <w:numPr>
          <w:ilvl w:val="0"/>
          <w:numId w:val="1001"/>
        </w:numPr>
        <w:pStyle w:val="Compact"/>
      </w:pPr>
      <w:r>
        <w:t xml:space="preserve">Develop a prototype "Kyoto-Centric Auditor Framework" integrating Japanese cultural principles ("shokunin kishitsu"—craftsman spirit) and practical auditing standards.</w:t>
      </w:r>
    </w:p>
    <w:p>
      <w:pPr>
        <w:numPr>
          <w:ilvl w:val="0"/>
          <w:numId w:val="1001"/>
        </w:numPr>
        <w:pStyle w:val="Compact"/>
      </w:pPr>
      <w:r>
        <w:t xml:space="preserve">Validate the framework’s efficacy through pilot audits with local accounting firms and Kyoto Prefectural Government partners.</w:t>
      </w:r>
    </w:p>
    <w:p>
      <w:pPr>
        <w:pStyle w:val="FirstParagraph"/>
      </w:pPr>
      <w:r>
        <w:rPr>
          <w:bCs/>
          <w:b/>
        </w:rPr>
        <w:t xml:space="preserve">Methodology:</w:t>
      </w:r>
      <w:r>
        <w:t xml:space="preserve"> </w:t>
      </w:r>
      <w:r>
        <w:t xml:space="preserve">The research adopts a mixed-methods approach, grounded in Japan Kyoto's cultural context. Phase 1 involves ethnographic fieldwork—observing business operations during peak seasons (e.g., Hanami festivals) and conducting semi-structured interviews with 25 SME owners and 10 practicing auditors from firms like Tokyo Shoko Research’s Kyoto office. This will capture how "wa" influences financial transparency, conflict resolution, and record-keeping. Phase 2 uses quantitative analysis of audit reports from Kyoto-based companies (2019–2024), comparing them with national averages to identify recurring discrepancies linked to cultural factors. Crucially, the research incorporates input from Kyoto University’s Graduate School of Economics and the Japan Institute of Certified Public Accountants (JICPA) to ensure academic rigor and regulatory alignment. The proposed framework will be tested through two pilot audits in Kyoto’s textile district (Nishijin-ori) and hospitality sector, measuring improvements in risk identification speed, client satisfaction, and compliance accuracy.</w:t>
      </w:r>
    </w:p>
    <w:p>
      <w:pPr>
        <w:pStyle w:val="BodyText"/>
      </w:pPr>
      <w:r>
        <w:rPr>
          <w:bCs/>
          <w:b/>
        </w:rPr>
        <w:t xml:space="preserve">Theoretical Contribution:</w:t>
      </w:r>
      <w:r>
        <w:t xml:space="preserve"> </w:t>
      </w:r>
      <w:r>
        <w:t xml:space="preserve">This work advances auditing theory by challenging the "one-size-fits-all" model. It proposes that effective</w:t>
      </w:r>
      <w:r>
        <w:t xml:space="preserve"> </w:t>
      </w:r>
      <w:r>
        <w:rPr>
          <w:iCs/>
          <w:i/>
        </w:rPr>
        <w:t xml:space="preserve">Auditor</w:t>
      </w:r>
      <w:r>
        <w:t xml:space="preserve"> </w:t>
      </w:r>
      <w:r>
        <w:t xml:space="preserve">practice in Japan Kyoto must integrate:</w:t>
      </w:r>
    </w:p>
    <w:p>
      <w:pPr>
        <w:numPr>
          <w:ilvl w:val="0"/>
          <w:numId w:val="1002"/>
        </w:numPr>
        <w:pStyle w:val="Compact"/>
      </w:pPr>
      <w:r>
        <w:rPr>
          <w:iCs/>
          <w:i/>
        </w:rPr>
        <w:t xml:space="preserve">Cultural Intelligence (CQ)</w:t>
      </w:r>
      <w:r>
        <w:t xml:space="preserve">: Training auditors to interpret financial data through Kyoto’s lens of community interdependence, not just transactional metrics.</w:t>
      </w:r>
    </w:p>
    <w:p>
      <w:pPr>
        <w:numPr>
          <w:ilvl w:val="0"/>
          <w:numId w:val="1002"/>
        </w:numPr>
        <w:pStyle w:val="Compact"/>
      </w:pPr>
      <w:r>
        <w:rPr>
          <w:iCs/>
          <w:i/>
        </w:rPr>
        <w:t xml:space="preserve">Contextual Risk Assessment</w:t>
      </w:r>
      <w:r>
        <w:t xml:space="preserve">: Developing audit indicators for seasonality (e.g., tourism revenue volatility) and intangible assets like "brand heritage" in crafts businesses.</w:t>
      </w:r>
    </w:p>
    <w:p>
      <w:pPr>
        <w:numPr>
          <w:ilvl w:val="0"/>
          <w:numId w:val="1002"/>
        </w:numPr>
        <w:pStyle w:val="Compact"/>
      </w:pPr>
      <w:r>
        <w:rPr>
          <w:iCs/>
          <w:i/>
        </w:rPr>
        <w:t xml:space="preserve">Harmony-Driven Reporting</w:t>
      </w:r>
      <w:r>
        <w:t xml:space="preserve">: Aligning audit communication styles with Kyoto’s preference for indirect, consensus-oriented feedback over confrontational findings.</w:t>
      </w:r>
    </w:p>
    <w:p>
      <w:pPr>
        <w:pStyle w:val="FirstParagraph"/>
      </w:pPr>
      <w:r>
        <w:rPr>
          <w:bCs/>
          <w:b/>
        </w:rPr>
        <w:t xml:space="preserve">Significance for Japan Kyoto:</w:t>
      </w:r>
      <w:r>
        <w:t xml:space="preserve"> </w:t>
      </w:r>
      <w:r>
        <w:t xml:space="preserve">Success will deliver tangible benefits:</w:t>
      </w:r>
    </w:p>
    <w:p>
      <w:pPr>
        <w:numPr>
          <w:ilvl w:val="0"/>
          <w:numId w:val="1003"/>
        </w:numPr>
        <w:pStyle w:val="Compact"/>
      </w:pPr>
      <w:r>
        <w:rPr>
          <w:iCs/>
          <w:i/>
        </w:rPr>
        <w:t xml:space="preserve">Economic Resilience</w:t>
      </w:r>
      <w:r>
        <w:t xml:space="preserve">: SMEs in Kyoto face heightened financial volatility due to tourism fluctuations. A tailored</w:t>
      </w:r>
      <w:r>
        <w:t xml:space="preserve"> </w:t>
      </w:r>
      <w:r>
        <w:rPr>
          <w:iCs/>
          <w:i/>
        </w:rPr>
        <w:t xml:space="preserve">Auditor</w:t>
      </w:r>
      <w:r>
        <w:t xml:space="preserve"> </w:t>
      </w:r>
      <w:r>
        <w:t xml:space="preserve">framework can help them navigate seasonal cash flow gaps, preventing 30%+ of the 450 annual business failures reported by Kyoto Prefecture.</w:t>
      </w:r>
    </w:p>
    <w:p>
      <w:pPr>
        <w:numPr>
          <w:ilvl w:val="0"/>
          <w:numId w:val="1003"/>
        </w:numPr>
        <w:pStyle w:val="Compact"/>
      </w:pPr>
      <w:r>
        <w:rPr>
          <w:iCs/>
          <w:i/>
        </w:rPr>
        <w:t xml:space="preserve">Cultural Preservation</w:t>
      </w:r>
      <w:r>
        <w:t xml:space="preserve">: By validating heritage businesses through audit practices that respect their operational ethos (e.g., recognizing "mingei" craft value beyond pure monetary terms), the framework supports Kyoto’s UNESCO Intangible Cultural Heritage preservation goals.</w:t>
      </w:r>
    </w:p>
    <w:p>
      <w:pPr>
        <w:numPr>
          <w:ilvl w:val="0"/>
          <w:numId w:val="1003"/>
        </w:numPr>
        <w:pStyle w:val="Compact"/>
      </w:pPr>
      <w:r>
        <w:rPr>
          <w:iCs/>
          <w:i/>
        </w:rPr>
        <w:t xml:space="preserve">Policy Impact</w:t>
      </w:r>
      <w:r>
        <w:t xml:space="preserve">: Findings will directly inform Japan’s Ministry of Economy, Trade and Industry (METI) on adapting national audit standards to regional contexts—potentially influencing policies for other historic cities like Nara or Kanazawa.</w:t>
      </w:r>
    </w:p>
    <w:p>
      <w:pPr>
        <w:pStyle w:val="FirstParagraph"/>
      </w:pPr>
      <w:r>
        <w:rPr>
          <w:bCs/>
          <w:b/>
        </w:rPr>
        <w:t xml:space="preserve">Expected Outcomes:</w:t>
      </w:r>
      <w:r>
        <w:t xml:space="preserve"> </w:t>
      </w:r>
      <w:r>
        <w:t xml:space="preserve">This Thesis Proposal anticipates three key deliverables:</w:t>
      </w:r>
    </w:p>
    <w:p>
      <w:pPr>
        <w:numPr>
          <w:ilvl w:val="0"/>
          <w:numId w:val="1004"/>
        </w:numPr>
        <w:pStyle w:val="Compact"/>
      </w:pPr>
      <w:r>
        <w:t xml:space="preserve">A comprehensive "Kyoto Auditor Toolkit" including modified audit checklists, cultural training modules for auditors, and case studies from Kyoto’s textile/hospitality sectors.</w:t>
      </w:r>
    </w:p>
    <w:p>
      <w:pPr>
        <w:numPr>
          <w:ilvl w:val="0"/>
          <w:numId w:val="1004"/>
        </w:numPr>
        <w:pStyle w:val="Compact"/>
      </w:pPr>
      <w:r>
        <w:t xml:space="preserve">An academic paper detailing the framework’s theoretical foundations, to be submitted to journals like the *Asian Journal of Accounting Research* with specific focus on Japan Kyoto contexts.</w:t>
      </w:r>
    </w:p>
    <w:p>
      <w:pPr>
        <w:numPr>
          <w:ilvl w:val="0"/>
          <w:numId w:val="1004"/>
        </w:numPr>
        <w:pStyle w:val="Compact"/>
      </w:pPr>
      <w:r>
        <w:t xml:space="preserve">A policy brief for the Kyoto Prefectural Government, proposing revisions to regional audit guidelines under their "Sustainable Business Initiative 2030."</w:t>
      </w:r>
    </w:p>
    <w:p>
      <w:pPr>
        <w:pStyle w:val="FirstParagraph"/>
      </w:pPr>
      <w:r>
        <w:rPr>
          <w:bCs/>
          <w:b/>
        </w:rPr>
        <w:t xml:space="preserve">Conclusion:</w:t>
      </w:r>
      <w:r>
        <w:t xml:space="preserve"> </w:t>
      </w:r>
      <w:r>
        <w:t xml:space="preserve">In Japan Kyoto, where every financial transaction resonates with centuries of tradition, a generic</w:t>
      </w:r>
      <w:r>
        <w:t xml:space="preserve"> </w:t>
      </w:r>
      <w:r>
        <w:rPr>
          <w:iCs/>
          <w:i/>
        </w:rPr>
        <w:t xml:space="preserve">Auditor</w:t>
      </w:r>
      <w:r>
        <w:t xml:space="preserve"> </w:t>
      </w:r>
      <w:r>
        <w:t xml:space="preserve">cannot fulfill the role of an economic guardian. This Thesis Proposal moves beyond standard compliance to create a living audit practice—rooted in Kyoto’s soil, attuned to its seasons, and respectful of its spirit. It responds directly to the unmet need for auditors who see not just numbers, but the human and cultural fabric behind them. By centering Japan Kyoto as both the subject and testbed of this research, this study promises not only academic innovation but also a practical roadmap for sustainable local economic vitality. The success of this</w:t>
      </w:r>
      <w:r>
        <w:t xml:space="preserve"> </w:t>
      </w:r>
      <w:r>
        <w:rPr>
          <w:iCs/>
          <w:i/>
        </w:rPr>
        <w:t xml:space="preserve">Thesis Proposal</w:t>
      </w:r>
      <w:r>
        <w:t xml:space="preserve"> </w:t>
      </w:r>
      <w:r>
        <w:t xml:space="preserve">will redefine how auditors serve communities where culture is the backbone of commerce.</w:t>
      </w:r>
    </w:p>
    <w:p>
      <w:pPr>
        <w:pStyle w:val="BodyText"/>
      </w:pPr>
      <w:r>
        <w:rPr>
          <w:bCs/>
          <w:b/>
        </w:rPr>
        <w:t xml:space="preserve">References (Selected):</w:t>
      </w:r>
    </w:p>
    <w:p>
      <w:pPr>
        <w:numPr>
          <w:ilvl w:val="0"/>
          <w:numId w:val="1005"/>
        </w:numPr>
        <w:pStyle w:val="Compact"/>
      </w:pPr>
      <w:r>
        <w:t xml:space="preserve">Kyoto Chamber of Commerce and Industry. (2023). *SME Financial Challenges Report: Kyoto Edition*. Kyoto: KCCI Press.</w:t>
      </w:r>
    </w:p>
    <w:p>
      <w:pPr>
        <w:numPr>
          <w:ilvl w:val="0"/>
          <w:numId w:val="1005"/>
        </w:numPr>
        <w:pStyle w:val="Compact"/>
      </w:pPr>
      <w:r>
        <w:t xml:space="preserve">Sato, M. (2021). *Cultural Dimensions in Japanese Auditing*. Journal of International Accounting, Auditing and Taxation, 45(1), 100–115.</w:t>
      </w:r>
    </w:p>
    <w:p>
      <w:pPr>
        <w:numPr>
          <w:ilvl w:val="0"/>
          <w:numId w:val="1005"/>
        </w:numPr>
        <w:pStyle w:val="Compact"/>
      </w:pPr>
      <w:r>
        <w:t xml:space="preserve">Japan Institute of Certified Public Accountants (JICPA). (2022). *National Audit Standards Update: Regional Considerations*. Tokyo: JICPA.</w:t>
      </w:r>
    </w:p>
    <w:p>
      <w:pPr>
        <w:numPr>
          <w:ilvl w:val="0"/>
          <w:numId w:val="1005"/>
        </w:numPr>
        <w:pStyle w:val="Compact"/>
      </w:pPr>
      <w:r>
        <w:t xml:space="preserve">Kyoto University, Graduate School of Economics. (2023). *Tourism-Driven Economic Volatility in Historic Urban Centers*. Kyoto Working Paper Series No. 147.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Auditing Practices in Kyoto's Unique Economic Ecosystem</dc:title>
  <dc:creator/>
  <dc:language>en</dc:language>
  <cp:keywords/>
  <dcterms:created xsi:type="dcterms:W3CDTF">2026-05-30T03:00:36Z</dcterms:created>
  <dcterms:modified xsi:type="dcterms:W3CDTF">2026-05-30T03:00:36Z</dcterms:modified>
</cp:coreProperties>
</file>

<file path=docProps/custom.xml><?xml version="1.0" encoding="utf-8"?>
<Properties xmlns="http://schemas.openxmlformats.org/officeDocument/2006/custom-properties" xmlns:vt="http://schemas.openxmlformats.org/officeDocument/2006/docPropsVTypes"/>
</file>