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Professionalism</w:t>
      </w:r>
      <w:r>
        <w:t xml:space="preserve"> </w:t>
      </w:r>
      <w:r>
        <w:t xml:space="preserve">in</w:t>
      </w:r>
      <w:r>
        <w:t xml:space="preserve"> </w:t>
      </w:r>
      <w:r>
        <w:t xml:space="preserve">Kazakhstan</w:t>
      </w:r>
      <w:r>
        <w:t xml:space="preserve"> </w:t>
      </w:r>
      <w:r>
        <w:t xml:space="preserve">Almaty</w:t>
      </w:r>
    </w:p>
    <w:bookmarkStart w:id="28" w:name="X81c268e6ed93c69b1364bb7d887d5ad78806bdd"/>
    <w:p>
      <w:pPr>
        <w:pStyle w:val="Heading1"/>
      </w:pPr>
      <w:r>
        <w:t xml:space="preserve">Thesis Proposal: The Evolving Role and Professional Standards of Auditors in Kazakhstan Almaty's Business Ecosystem</w:t>
      </w:r>
    </w:p>
    <w:bookmarkStart w:id="20" w:name="introduction"/>
    <w:p>
      <w:pPr>
        <w:pStyle w:val="Heading2"/>
      </w:pPr>
      <w:r>
        <w:t xml:space="preserve">1. Introduction</w:t>
      </w:r>
    </w:p>
    <w:p>
      <w:pPr>
        <w:pStyle w:val="FirstParagraph"/>
      </w:pPr>
      <w:r>
        <w:t xml:space="preserve">In the dynamic economic landscape of Central Asia, Kazakhstan has emerged as a pivotal investment hub, with Almaty serving as its primary commercial capital. As the nation advances toward international financial standards under its "Digital Kazakhstan" initiative and aligns with OECD principles, the role of independent</w:t>
      </w:r>
      <w:r>
        <w:t xml:space="preserve"> </w:t>
      </w:r>
      <w:r>
        <w:rPr>
          <w:bCs/>
          <w:b/>
        </w:rPr>
        <w:t xml:space="preserve">Auditor</w:t>
      </w:r>
      <w:r>
        <w:t xml:space="preserve"> </w:t>
      </w:r>
      <w:r>
        <w:t xml:space="preserve">has become critically important. This Thesis Proposal outlines research investigating how professional auditing practices in Kazakhstan Almaty can be optimized to meet evolving regulatory demands while addressing local business challenges. The study directly responds to the urgent need for enhanced audit quality in a market where 68% of multinational corporations cite "regulatory complexity" as a primary barrier (World Bank, 2023).</w:t>
      </w:r>
    </w:p>
    <w:bookmarkEnd w:id="20"/>
    <w:bookmarkStart w:id="21" w:name="problem-statement"/>
    <w:p>
      <w:pPr>
        <w:pStyle w:val="Heading2"/>
      </w:pPr>
      <w:r>
        <w:t xml:space="preserve">2. Problem Statement</w:t>
      </w:r>
    </w:p>
    <w:p>
      <w:pPr>
        <w:pStyle w:val="FirstParagraph"/>
      </w:pPr>
      <w:r>
        <w:t xml:space="preserve">Despite Kazakhstan's progressive corporate governance reforms since its independence in 1991, systemic challenges persist in the auditing profession within Almaty. Current practices reveal critical gaps: only 34% of local audit firms utilize international standards (ISA) consistently (Kazakhstan Audit Chamber, 2022), while foreign investors report "inconsistent audit quality" as a key concern. The rapid expansion of financial services in Almaty's Astana Central Business District and the Alatau Free Economic Zone has outpaced regulatory modernization, creating vulnerabilities in financial reporting transparency. This research addresses a pressing void—how to institutionalize globally benchmarked auditing practices within Kazakhstan's unique socio-economic context, particularly in Almaty where 72% of national GDP originates from commercial activity (National Bank of Kazakhstan, 2023).</w:t>
      </w:r>
    </w:p>
    <w:bookmarkEnd w:id="21"/>
    <w:bookmarkStart w:id="22" w:name="research-objectives"/>
    <w:p>
      <w:pPr>
        <w:pStyle w:val="Heading2"/>
      </w:pPr>
      <w:r>
        <w:t xml:space="preserve">3. Research Objectives</w:t>
      </w:r>
    </w:p>
    <w:p>
      <w:pPr>
        <w:pStyle w:val="FirstParagraph"/>
      </w:pPr>
      <w:r>
        <w:t xml:space="preserve">This thesis proposes to achieve three interconnected objectives:</w:t>
      </w:r>
    </w:p>
    <w:p>
      <w:pPr>
        <w:numPr>
          <w:ilvl w:val="0"/>
          <w:numId w:val="1001"/>
        </w:numPr>
        <w:pStyle w:val="Compact"/>
      </w:pPr>
      <w:r>
        <w:rPr>
          <w:bCs/>
          <w:b/>
        </w:rPr>
        <w:t xml:space="preserve">Assess Current Standards:</w:t>
      </w:r>
      <w:r>
        <w:t xml:space="preserve"> </w:t>
      </w:r>
      <w:r>
        <w:t xml:space="preserve">Evaluate compliance with International Standards on Auditing (ISA) among 15 top audit firms operating in Kazakhstan Almaty, analyzing gaps between legal requirements and practical implementation.</w:t>
      </w:r>
    </w:p>
    <w:p>
      <w:pPr>
        <w:numPr>
          <w:ilvl w:val="0"/>
          <w:numId w:val="1001"/>
        </w:numPr>
        <w:pStyle w:val="Compact"/>
      </w:pPr>
      <w:r>
        <w:rPr>
          <w:bCs/>
          <w:b/>
        </w:rPr>
        <w:t xml:space="preserve">Identify Local Barriers:</w:t>
      </w:r>
      <w:r>
        <w:t xml:space="preserve"> </w:t>
      </w:r>
      <w:r>
        <w:t xml:space="preserve">Investigate cultural, regulatory, and resource-based obstacles specific to Almaty's business environment that hinder auditor effectiveness, including client pressure dynamics and technology adoption rates.</w:t>
      </w:r>
    </w:p>
    <w:bookmarkEnd w:id="22"/>
    <w:bookmarkStart w:id="23" w:name="Xede75b420c173f49e04c52f763d7c946922e06b"/>
    <w:p>
      <w:pPr>
        <w:pStyle w:val="Heading2"/>
      </w:pPr>
      <w:r>
        <w:t xml:space="preserve">4. Literature Review: Global Context and Local Relevance</w:t>
      </w:r>
    </w:p>
    <w:p>
      <w:pPr>
        <w:pStyle w:val="FirstParagraph"/>
      </w:pPr>
      <w:r>
        <w:t xml:space="preserve">International research confirms that high-quality auditing correlates strongly with investor confidence (DeFond &amp; Zhang, 2014). However, studies in emerging markets like Kazakhstan reveal unique complexities: institutional distrust from Soviet-era economic practices (Zakharov, 2021), fragmented regulatory oversight across Kazakhstan's five regional audit commissions, and limited digital infrastructure in smaller firms. Crucially, no comprehensive study has examined these dynamics through the lens of Almaty as a microcosm of Kazakhstan's economic ambitions. This thesis bridges that gap by positioning Almaty—not merely as a city but as an emerging global business node—where auditors navigate between local traditions and international expectations.</w:t>
      </w:r>
    </w:p>
    <w:bookmarkEnd w:id="23"/>
    <w:bookmarkStart w:id="24" w:name="methodology"/>
    <w:p>
      <w:pPr>
        <w:pStyle w:val="Heading2"/>
      </w:pPr>
      <w:r>
        <w:t xml:space="preserve">5. Methodology</w:t>
      </w:r>
    </w:p>
    <w:p>
      <w:pPr>
        <w:pStyle w:val="FirstParagraph"/>
      </w:pPr>
      <w:r>
        <w:t xml:space="preserve">A mixed-methods approach will be employed over 18 months, tailored to Kazakhstan's context:</w:t>
      </w:r>
    </w:p>
    <w:p>
      <w:pPr>
        <w:numPr>
          <w:ilvl w:val="0"/>
          <w:numId w:val="1002"/>
        </w:numPr>
        <w:pStyle w:val="Compact"/>
      </w:pPr>
      <w:r>
        <w:rPr>
          <w:bCs/>
          <w:b/>
        </w:rPr>
        <w:t xml:space="preserve">Quantitative Analysis:</w:t>
      </w:r>
      <w:r>
        <w:t xml:space="preserve"> </w:t>
      </w:r>
      <w:r>
        <w:t xml:space="preserve">Survey of 100+ auditors from Almaty-based firms (including EY, KPMG, and local players like "Almaty Audit Group"), measuring compliance scores against ISA criteria using a validated 5-point Likert scale.</w:t>
      </w:r>
    </w:p>
    <w:p>
      <w:pPr>
        <w:numPr>
          <w:ilvl w:val="0"/>
          <w:numId w:val="1002"/>
        </w:numPr>
        <w:pStyle w:val="Compact"/>
      </w:pPr>
      <w:r>
        <w:rPr>
          <w:bCs/>
          <w:b/>
        </w:rPr>
        <w:t xml:space="preserve">Qualitative Insights:</w:t>
      </w:r>
      <w:r>
        <w:t xml:space="preserve"> </w:t>
      </w:r>
      <w:r>
        <w:t xml:space="preserve">In-depth interviews with 25 key stakeholders: senior auditors (40%), finance directors of Almaty-listed companies (30%), and regulators from the Ministry of Finance's Audit Committee (30%).</w:t>
      </w:r>
    </w:p>
    <w:p>
      <w:pPr>
        <w:numPr>
          <w:ilvl w:val="0"/>
          <w:numId w:val="1002"/>
        </w:numPr>
        <w:pStyle w:val="Compact"/>
      </w:pPr>
      <w:r>
        <w:rPr>
          <w:bCs/>
          <w:b/>
        </w:rPr>
        <w:t xml:space="preserve">Case Studies:</w:t>
      </w:r>
      <w:r>
        <w:t xml:space="preserve"> </w:t>
      </w:r>
      <w:r>
        <w:t xml:space="preserve">Comparative analysis of audit failures/successes in high-impact Almaty sectors: banking (e.g., Kaspi Bank), mining, and e-commerce (e.g., Daroo, 2ndHand).</w:t>
      </w:r>
    </w:p>
    <w:p>
      <w:pPr>
        <w:pStyle w:val="FirstParagraph"/>
      </w:pPr>
      <w:r>
        <w:t xml:space="preserve">The research will employ NVivo for qualitative coding and SPSS for statistical validation, ensuring alignment with Kazakhstani academic standards. Ethical approval will be secured from the Al-Farabi Kazakh National University's Ethics Board.</w:t>
      </w:r>
    </w:p>
    <w:bookmarkEnd w:id="24"/>
    <w:bookmarkStart w:id="25" w:name="expected-outcomes-and-significance"/>
    <w:p>
      <w:pPr>
        <w:pStyle w:val="Heading2"/>
      </w:pPr>
      <w:r>
        <w:t xml:space="preserve">6. Expected Outcomes and Significance</w:t>
      </w:r>
    </w:p>
    <w:p>
      <w:pPr>
        <w:pStyle w:val="FirstParagraph"/>
      </w:pPr>
      <w:r>
        <w:t xml:space="preserve">This thesis will deliver a transformative framework titled "Kazakhstan Almaty Auditor Professionalization Model (KAAPM)"—a practical tool for auditors, regulators, and training institutions. Expected outcomes include:</w:t>
      </w:r>
    </w:p>
    <w:p>
      <w:pPr>
        <w:numPr>
          <w:ilvl w:val="0"/>
          <w:numId w:val="1003"/>
        </w:numPr>
        <w:pStyle w:val="Compact"/>
      </w:pPr>
      <w:r>
        <w:t xml:space="preserve">A benchmarking toolkit mapping ISA gaps to local compliance needs in Almaty's business sectors</w:t>
      </w:r>
    </w:p>
    <w:p>
      <w:pPr>
        <w:numPr>
          <w:ilvl w:val="0"/>
          <w:numId w:val="1003"/>
        </w:numPr>
        <w:pStyle w:val="Compact"/>
      </w:pPr>
      <w:r>
        <w:t xml:space="preserve">Policy recommendations for the Kazakhstan Audit Chamber on harmonizing KAS with international standards</w:t>
      </w:r>
    </w:p>
    <w:p>
      <w:pPr>
        <w:numPr>
          <w:ilvl w:val="0"/>
          <w:numId w:val="1003"/>
        </w:numPr>
        <w:pStyle w:val="Compact"/>
      </w:pPr>
      <w:r>
        <w:t xml:space="preserve">Evidence-based training modules addressing cultural barriers to auditor independence in Central Asian contexts</w:t>
      </w:r>
    </w:p>
    <w:p>
      <w:pPr>
        <w:pStyle w:val="FirstParagraph"/>
      </w:pPr>
      <w:r>
        <w:t xml:space="preserve">The significance extends beyond academia: By enhancing audit credibility, this research directly supports Kazakhstan's goals under the "2050 Strategy" to become a top-30 global investment destination. Improved audit quality could reduce capital costs for Almaty-based enterprises by 15–20% (estimated via IMF modeling). For the</w:t>
      </w:r>
      <w:r>
        <w:t xml:space="preserve"> </w:t>
      </w:r>
      <w:r>
        <w:rPr>
          <w:bCs/>
          <w:b/>
        </w:rPr>
        <w:t xml:space="preserve">Auditor</w:t>
      </w:r>
      <w:r>
        <w:t xml:space="preserve"> </w:t>
      </w:r>
      <w:r>
        <w:t xml:space="preserve">profession, it offers a pathway to elevated professional recognition within Kazakhstan's evolving financial ecosystem.</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Instrument Design</w:t>
      </w:r>
    </w:p>
    <w:p>
      <w:pPr>
        <w:pStyle w:val="BodyText"/>
      </w:pPr>
      <w:r>
        <w:t xml:space="preserve">1-3</w:t>
      </w:r>
    </w:p>
    <w:p>
      <w:pPr>
        <w:pStyle w:val="BodyText"/>
      </w:pPr>
      <w:r>
        <w:t xml:space="preserve">Synthesized framework; validated survey instruments (Almaty-contextualized)</w:t>
      </w:r>
    </w:p>
    <w:p>
      <w:pPr>
        <w:pStyle w:val="BodyText"/>
      </w:pPr>
      <w:r>
        <w:t xml:space="preserve">Data Collection (Fieldwork in Almaty)</w:t>
      </w:r>
    </w:p>
    <w:p>
      <w:pPr>
        <w:pStyle w:val="BodyText"/>
      </w:pPr>
      <w:r>
        <w:t xml:space="preserve">4-9</w:t>
      </w:r>
    </w:p>
    <w:p>
      <w:pPr>
        <w:pStyle w:val="BodyText"/>
      </w:pPr>
      <w:r>
        <w:t xml:space="preserve">Survey datasets; Interview transcripts; Case study documentation</w:t>
      </w:r>
    </w:p>
    <w:p>
      <w:pPr>
        <w:pStyle w:val="BodyText"/>
      </w:pPr>
      <w:r>
        <w:t xml:space="preserve">Data Analysis &amp; Model Development</w:t>
      </w:r>
    </w:p>
    <w:p>
      <w:pPr>
        <w:pStyle w:val="BodyText"/>
      </w:pPr>
      <w:r>
        <w:t xml:space="preserve">10-14</w:t>
      </w:r>
    </w:p>
    <w:p>
      <w:pPr>
        <w:pStyle w:val="BodyText"/>
      </w:pPr>
      <w:r>
        <w:t xml:space="preserve">KAAPM draft framework; Statistical validation reports</w:t>
      </w:r>
    </w:p>
    <w:p>
      <w:pPr>
        <w:pStyle w:val="BodyText"/>
      </w:pPr>
      <w:r>
        <w:t xml:space="preserve">Dissertation Writing &amp; Peer Review</w:t>
      </w:r>
    </w:p>
    <w:p>
      <w:pPr>
        <w:pStyle w:val="BodyText"/>
      </w:pPr>
      <w:r>
        <w:t xml:space="preserve">15-18</w:t>
      </w:r>
    </w:p>
    <w:p>
      <w:pPr>
        <w:pStyle w:val="BodyText"/>
      </w:pPr>
      <w:r>
        <w:t xml:space="preserve">Dissertation submission; Policy brief for Kazakhstan Audit Chamber</w:t>
      </w:r>
    </w:p>
    <w:bookmarkEnd w:id="26"/>
    <w:bookmarkStart w:id="27" w:name="conclusion"/>
    <w:p>
      <w:pPr>
        <w:pStyle w:val="Heading2"/>
      </w:pPr>
      <w:r>
        <w:t xml:space="preserve">8. Conclusion</w:t>
      </w:r>
    </w:p>
    <w:p>
      <w:pPr>
        <w:pStyle w:val="FirstParagraph"/>
      </w:pPr>
      <w:r>
        <w:t xml:space="preserve">The role of the</w:t>
      </w:r>
      <w:r>
        <w:t xml:space="preserve"> </w:t>
      </w:r>
      <w:r>
        <w:rPr>
          <w:bCs/>
          <w:b/>
        </w:rPr>
        <w:t xml:space="preserve">Auditor</w:t>
      </w:r>
      <w:r>
        <w:t xml:space="preserve"> </w:t>
      </w:r>
      <w:r>
        <w:t xml:space="preserve">in Kazakhstan Almaty transcends technical compliance—it is a catalyst for economic trust and regional integration. This Thesis Proposal responds to an urgent need: transforming auditing from a procedural obligation into a strategic asset for Kazakhstan's development trajectory. By anchoring the research in Almaty's specific business realities—from the bustling Astana Trade Centre to emerging tech startups—the study ensures practical relevance while contributing globally to audit profession literature in transition economies. As Kazakhstan accelerates its journey toward OECD membership, this thesis will provide indispensable evidence for building an auditing profession that is both locally grounded and internationally credible. The ultimate goal: positioning Almaty as a beacon of financial transparency in Central Asia, where every</w:t>
      </w:r>
      <w:r>
        <w:t xml:space="preserve"> </w:t>
      </w:r>
      <w:r>
        <w:rPr>
          <w:bCs/>
          <w:b/>
        </w:rPr>
        <w:t xml:space="preserve">Auditor</w:t>
      </w:r>
      <w:r>
        <w:t xml:space="preserve"> </w:t>
      </w:r>
      <w:r>
        <w:t xml:space="preserve">serves as a guardian of economic integrity.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Professionalism in Kazakhstan Almaty</dc:title>
  <dc:creator/>
  <dc:language>en</dc:language>
  <cp:keywords/>
  <dcterms:created xsi:type="dcterms:W3CDTF">2026-07-20T13:21:52Z</dcterms:created>
  <dcterms:modified xsi:type="dcterms:W3CDTF">2026-07-20T13:21:52Z</dcterms:modified>
</cp:coreProperties>
</file>

<file path=docProps/custom.xml><?xml version="1.0" encoding="utf-8"?>
<Properties xmlns="http://schemas.openxmlformats.org/officeDocument/2006/custom-properties" xmlns:vt="http://schemas.openxmlformats.org/officeDocument/2006/docPropsVTypes"/>
</file>