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Independent</w:t>
      </w:r>
      <w:r>
        <w:t xml:space="preserve"> </w:t>
      </w:r>
      <w:r>
        <w:t xml:space="preserve">Auditor</w:t>
      </w:r>
      <w:r>
        <w:t xml:space="preserve"> </w:t>
      </w:r>
      <w:r>
        <w:t xml:space="preserve">in</w:t>
      </w:r>
      <w:r>
        <w:t xml:space="preserve"> </w:t>
      </w:r>
      <w:r>
        <w:t xml:space="preserve">Financial</w:t>
      </w:r>
      <w:r>
        <w:t xml:space="preserve"> </w:t>
      </w:r>
      <w:r>
        <w:t xml:space="preserve">Governance</w:t>
      </w:r>
      <w:r>
        <w:t xml:space="preserve"> </w:t>
      </w:r>
      <w:r>
        <w:t xml:space="preserve">within</w:t>
      </w:r>
      <w:r>
        <w:t xml:space="preserve"> </w:t>
      </w:r>
      <w:r>
        <w:t xml:space="preserve">Kuwait</w:t>
      </w:r>
      <w:r>
        <w:t xml:space="preserve"> </w:t>
      </w:r>
      <w:r>
        <w:t xml:space="preserve">City,</w:t>
      </w:r>
      <w:r>
        <w:t xml:space="preserve"> </w:t>
      </w:r>
      <w:r>
        <w:t xml:space="preserve">Kuwait</w:t>
      </w:r>
    </w:p>
    <w:bookmarkStart w:id="29" w:name="X265d4e04060de76ca0a2291ce1d4e3fba999ce3"/>
    <w:p>
      <w:pPr>
        <w:pStyle w:val="Heading1"/>
      </w:pPr>
      <w:r>
        <w:t xml:space="preserve">Thesis Proposal: The Role of Independent Auditor in Financial Governance within Kuwait City, Kuwait</w:t>
      </w:r>
    </w:p>
    <w:bookmarkStart w:id="20" w:name="introduction"/>
    <w:p>
      <w:pPr>
        <w:pStyle w:val="Heading2"/>
      </w:pPr>
      <w:r>
        <w:t xml:space="preserve">1. Introduction</w:t>
      </w:r>
    </w:p>
    <w:p>
      <w:pPr>
        <w:pStyle w:val="FirstParagraph"/>
      </w:pPr>
      <w:r>
        <w:t xml:space="preserve">The rapidly evolving economic landscape of **Kuwait**, particularly in its capital city **Kuwait City**, demands rigorous financial oversight to sustain investor confidence and regulatory compliance. As a global hub for finance and trade in the Gulf Cooperation Council (GCC), **Kuwait City** hosts multinational corporations, sovereign wealth funds, and burgeoning SMEs where transparent financial reporting is non-negotiable. This thesis proposal addresses a critical gap in understanding how the independent</w:t>
      </w:r>
      <w:r>
        <w:t xml:space="preserve"> </w:t>
      </w:r>
      <w:r>
        <w:rPr>
          <w:iCs/>
          <w:i/>
        </w:rPr>
        <w:t xml:space="preserve">Auditor</w:t>
      </w:r>
      <w:r>
        <w:t xml:space="preserve"> </w:t>
      </w:r>
      <w:r>
        <w:t xml:space="preserve">functions as a cornerstone of financial governance within Kuwait's unique regulatory and cultural context. The study will investigate whether current auditing practices in **Kuwait City** adequately meet international standards while navigating local business traditions, thereby safeguarding the integrity of **Kuwait**'s $100 billion+ financial ecosystem.</w:t>
      </w:r>
    </w:p>
    <w:bookmarkEnd w:id="20"/>
    <w:bookmarkStart w:id="21" w:name="problem-statement"/>
    <w:p>
      <w:pPr>
        <w:pStyle w:val="Heading2"/>
      </w:pPr>
      <w:r>
        <w:t xml:space="preserve">2. Problem Statement</w:t>
      </w:r>
    </w:p>
    <w:p>
      <w:pPr>
        <w:pStyle w:val="FirstParagraph"/>
      </w:pPr>
      <w:r>
        <w:t xml:space="preserve">Despite Kuwait's strategic position as a regional financial center, recent audits by the Kuwait Financial Centre (KIPAC) reveal significant inconsistencies in financial reporting across key sectors including oil and gas, real estate, and banking in **Kuwait City**. A 2023 KPMG report indicated that 37% of listed companies in Kuwait City required audit adjustments for revenue recognition irregularities—exceeding the GCC average by 15%. This gap stems from two interrelated challenges: (a) the tension between international auditing standards (ISA) and local corporate governance norms, and (b) insufficient specialized training for auditors operating within **Kuwait City**'s complex regulatory framework. The absence of a localized model to guide the **Auditor** in balancing global standards with Kuwaiti legal requirements poses systemic risks to economic stability.</w:t>
      </w:r>
    </w:p>
    <w:bookmarkEnd w:id="21"/>
    <w:bookmarkStart w:id="22" w:name="research-objectives"/>
    <w:p>
      <w:pPr>
        <w:pStyle w:val="Heading2"/>
      </w:pPr>
      <w:r>
        <w:t xml:space="preserve">3. Research Objectives</w:t>
      </w:r>
    </w:p>
    <w:p>
      <w:pPr>
        <w:numPr>
          <w:ilvl w:val="0"/>
          <w:numId w:val="1001"/>
        </w:numPr>
        <w:pStyle w:val="Compact"/>
      </w:pPr>
      <w:r>
        <w:t xml:space="preserve">To analyze the compliance levels of independent auditors in **Kuwait City** against International Standards on Auditing (ISA) and Kuwaiti Commercial Code Articles 195–203.</w:t>
      </w:r>
    </w:p>
    <w:p>
      <w:pPr>
        <w:numPr>
          <w:ilvl w:val="0"/>
          <w:numId w:val="1001"/>
        </w:numPr>
        <w:pStyle w:val="Compact"/>
      </w:pPr>
      <w:r>
        <w:t xml:space="preserve">To identify cultural and regulatory barriers affecting auditor independence in Kuwaiti corporate governance structures.</w:t>
      </w:r>
    </w:p>
    <w:p>
      <w:pPr>
        <w:numPr>
          <w:ilvl w:val="0"/>
          <w:numId w:val="1001"/>
        </w:numPr>
        <w:pStyle w:val="Compact"/>
      </w:pPr>
      <w:r>
        <w:t xml:space="preserve">To develop a context-specific framework for enhancing auditor effectiveness in **Kuwait City**'s business environment, incorporating Shariah-compliant financial practices where applicable.</w:t>
      </w:r>
    </w:p>
    <w:p>
      <w:pPr>
        <w:numPr>
          <w:ilvl w:val="0"/>
          <w:numId w:val="1001"/>
        </w:numPr>
        <w:pStyle w:val="Compact"/>
      </w:pPr>
      <w:r>
        <w:t xml:space="preserve">To propose policy recommendations for the Capital Markets Authority (CMA) of Kuwait to strengthen audit quality control mechanisms within **Kuwait City**.</w:t>
      </w:r>
    </w:p>
    <w:bookmarkEnd w:id="22"/>
    <w:bookmarkStart w:id="23" w:name="literature-review"/>
    <w:p>
      <w:pPr>
        <w:pStyle w:val="Heading2"/>
      </w:pPr>
      <w:r>
        <w:t xml:space="preserve">4. Literature Review</w:t>
      </w:r>
    </w:p>
    <w:p>
      <w:pPr>
        <w:pStyle w:val="FirstParagraph"/>
      </w:pPr>
      <w:r>
        <w:t xml:space="preserve">Existing literature focuses heavily on auditing in Western economies, with limited studies addressing GCC contexts. A seminal study by Al-Mutairi (2018) highlighted that Kuwaiti auditors prioritize client relationships over technical compliance—a finding echoed in the 2021 KPMG GCC Audit Quality Survey. However, no research has examined the unique interplay between **Kuwait City**'s tribal business networks and auditor independence. Meanwhile, academic work on Islamic auditing (e.g., Al-Suwaidi, 2020) remains theoretical without empirical validation in Kuwaiti settings. This thesis bridges these gaps by contextualizing global standards within **Kuwait City**'s socio-economic fabric, where familial ownership structures often blur lines between governance and control—directly impacting the</w:t>
      </w:r>
      <w:r>
        <w:t xml:space="preserve"> </w:t>
      </w:r>
      <w:r>
        <w:rPr>
          <w:iCs/>
          <w:i/>
        </w:rPr>
        <w:t xml:space="preserve">Auditor</w:t>
      </w:r>
      <w:r>
        <w:t xml:space="preserve">'s operational autonomy.</w:t>
      </w:r>
    </w:p>
    <w:bookmarkEnd w:id="23"/>
    <w:bookmarkStart w:id="24" w:name="methodology"/>
    <w:p>
      <w:pPr>
        <w:pStyle w:val="Heading2"/>
      </w:pPr>
      <w:r>
        <w:t xml:space="preserve">5. Methodology</w:t>
      </w:r>
    </w:p>
    <w:p>
      <w:pPr>
        <w:pStyle w:val="FirstParagraph"/>
      </w:pPr>
      <w:r>
        <w:t xml:space="preserve">This mixed-methods study employs triangulation to ensure robust findings:</w:t>
      </w:r>
    </w:p>
    <w:p>
      <w:pPr>
        <w:numPr>
          <w:ilvl w:val="0"/>
          <w:numId w:val="1002"/>
        </w:numPr>
        <w:pStyle w:val="Compact"/>
      </w:pPr>
      <w:r>
        <w:rPr>
          <w:bCs/>
          <w:b/>
        </w:rPr>
        <w:t xml:space="preserve">Quantitative Phase:</w:t>
      </w:r>
      <w:r>
        <w:t xml:space="preserve"> </w:t>
      </w:r>
      <w:r>
        <w:t xml:space="preserve">Analysis of 150 audit reports from Kuwait Stock Exchange-listed entities (2019–2023) in **Kuwait City**, focusing on material misstatement rates and audit opinion types.</w:t>
      </w:r>
    </w:p>
    <w:p>
      <w:pPr>
        <w:numPr>
          <w:ilvl w:val="0"/>
          <w:numId w:val="1002"/>
        </w:numPr>
        <w:pStyle w:val="Compact"/>
      </w:pPr>
      <w:r>
        <w:rPr>
          <w:bCs/>
          <w:b/>
        </w:rPr>
        <w:t xml:space="preserve">Qualitative Phase:</w:t>
      </w:r>
      <w:r>
        <w:t xml:space="preserve"> </w:t>
      </w:r>
      <w:r>
        <w:t xml:space="preserve">Semi-structured interviews with 35 stakeholders: 15 independent auditors, 10 CMA regulators, and 10 CFOs from leading Kuwaiti firms (e.g., Gulf Bank, Al-Kharafi &amp; Sons).</w:t>
      </w:r>
    </w:p>
    <w:p>
      <w:pPr>
        <w:numPr>
          <w:ilvl w:val="0"/>
          <w:numId w:val="1002"/>
        </w:numPr>
        <w:pStyle w:val="Compact"/>
      </w:pPr>
      <w:r>
        <w:rPr>
          <w:bCs/>
          <w:b/>
        </w:rPr>
        <w:t xml:space="preserve">Cultural Contextualization:</w:t>
      </w:r>
      <w:r>
        <w:t xml:space="preserve"> </w:t>
      </w:r>
      <w:r>
        <w:t xml:space="preserve">Ethnographic observation of audit team meetings in **Kuwait City** to document informal decision-making dynamics.</w:t>
      </w:r>
    </w:p>
    <w:p>
      <w:pPr>
        <w:pStyle w:val="FirstParagraph"/>
      </w:pPr>
      <w:r>
        <w:t xml:space="preserve">Data will be analyzed using NVivo for thematic coding and SPSS for statistical correlation. The study adheres to Kuwaiti ethical guidelines under the Ministry of Higher Education’s Research Ethics Committee, with all participant data anonymized per GDPR standards.</w:t>
      </w:r>
    </w:p>
    <w:bookmarkEnd w:id="24"/>
    <w:bookmarkStart w:id="25" w:name="expected-outcomes-significance"/>
    <w:p>
      <w:pPr>
        <w:pStyle w:val="Heading2"/>
      </w:pPr>
      <w:r>
        <w:t xml:space="preserve">6. Expected Outcomes &amp; Significance</w:t>
      </w:r>
    </w:p>
    <w:p>
      <w:pPr>
        <w:pStyle w:val="FirstParagraph"/>
      </w:pPr>
      <w:r>
        <w:t xml:space="preserve">This research anticipates three transformative outcomes:</w:t>
      </w:r>
    </w:p>
    <w:p>
      <w:pPr>
        <w:numPr>
          <w:ilvl w:val="0"/>
          <w:numId w:val="1003"/>
        </w:numPr>
        <w:pStyle w:val="Compact"/>
      </w:pPr>
      <w:r>
        <w:rPr>
          <w:bCs/>
          <w:b/>
        </w:rPr>
        <w:t xml:space="preserve">A Diagnostic Framework:</w:t>
      </w:r>
      <w:r>
        <w:t xml:space="preserve"> </w:t>
      </w:r>
      <w:r>
        <w:t xml:space="preserve">A practical tool for auditors in **Kuwait City** to assess their compliance with ISA while addressing Kuwait-specific variables (e.g., family-owned conglomerates, local tax regulations).</w:t>
      </w:r>
    </w:p>
    <w:p>
      <w:pPr>
        <w:numPr>
          <w:ilvl w:val="0"/>
          <w:numId w:val="1003"/>
        </w:numPr>
        <w:pStyle w:val="Compact"/>
      </w:pPr>
      <w:r>
        <w:rPr>
          <w:bCs/>
          <w:b/>
        </w:rPr>
        <w:t xml:space="preserve">Policy Blueprint:</w:t>
      </w:r>
      <w:r>
        <w:t xml:space="preserve"> </w:t>
      </w:r>
      <w:r>
        <w:t xml:space="preserve">Evidence-based recommendations for the CMA to mandate Shariah-compliance training for auditors and revise independence disclosure requirements in line with Kuwaiti corporate culture.</w:t>
      </w:r>
    </w:p>
    <w:p>
      <w:pPr>
        <w:numPr>
          <w:ilvl w:val="0"/>
          <w:numId w:val="1003"/>
        </w:numPr>
        <w:pStyle w:val="Compact"/>
      </w:pPr>
      <w:r>
        <w:rPr>
          <w:bCs/>
          <w:b/>
        </w:rPr>
        <w:t xml:space="preserve">Economic Impact:</w:t>
      </w:r>
      <w:r>
        <w:t xml:space="preserve"> </w:t>
      </w:r>
      <w:r>
        <w:t xml:space="preserve">By reducing audit failures, the study aims to lower capital costs for Kuwaiti firms by an estimated 12% (based on World Bank modeling of audit quality effects), directly supporting **Kuwait**'s Vision 2035 diversification goals.</w:t>
      </w:r>
    </w:p>
    <w:p>
      <w:pPr>
        <w:pStyle w:val="FirstParagraph"/>
      </w:pPr>
      <w:r>
        <w:t xml:space="preserve">The significance extends beyond **Kuwait City**: The developed framework will serve as a replicable model for other GCC nations facing similar governance challenges. Crucially, it positions the</w:t>
      </w:r>
      <w:r>
        <w:t xml:space="preserve"> </w:t>
      </w:r>
      <w:r>
        <w:rPr>
          <w:iCs/>
          <w:i/>
        </w:rPr>
        <w:t xml:space="preserve">Auditor</w:t>
      </w:r>
      <w:r>
        <w:t xml:space="preserve"> </w:t>
      </w:r>
      <w:r>
        <w:t xml:space="preserve">not merely as a compliance officer but as an active guardian of economic integrity—aligning with Kuwait’s ambition to become a "global financial hub" beyond oil dependency.</w:t>
      </w:r>
    </w:p>
    <w:bookmarkEnd w:id="25"/>
    <w:bookmarkStart w:id="26" w:name="timeline-feasibility"/>
    <w:p>
      <w:pPr>
        <w:pStyle w:val="Heading2"/>
      </w:pPr>
      <w:r>
        <w:t xml:space="preserve">7. Timeline &amp; Feasibility</w:t>
      </w:r>
    </w:p>
    <w:p>
      <w:pPr>
        <w:pStyle w:val="FirstParagraph"/>
      </w:pPr>
      <w:r>
        <w:t xml:space="preserve">With access secured through the **Kuwait City** campus of Gulf University and partnerships with KIPAC, the project is highly feasible. The proposed 18-month timeline includes:</w:t>
      </w:r>
    </w:p>
    <w:p>
      <w:pPr>
        <w:numPr>
          <w:ilvl w:val="0"/>
          <w:numId w:val="1004"/>
        </w:numPr>
        <w:pStyle w:val="Compact"/>
      </w:pPr>
      <w:r>
        <w:rPr>
          <w:iCs/>
          <w:i/>
        </w:rPr>
        <w:t xml:space="preserve">Months 1–3:</w:t>
      </w:r>
      <w:r>
        <w:t xml:space="preserve"> </w:t>
      </w:r>
      <w:r>
        <w:t xml:space="preserve">Literature review &amp; ethics approval</w:t>
      </w:r>
    </w:p>
    <w:p>
      <w:pPr>
        <w:numPr>
          <w:ilvl w:val="0"/>
          <w:numId w:val="1004"/>
        </w:numPr>
        <w:pStyle w:val="Compact"/>
      </w:pPr>
      <w:r>
        <w:rPr>
          <w:iCs/>
          <w:i/>
        </w:rPr>
        <w:t xml:space="preserve">Months 4–9:</w:t>
      </w:r>
      <w:r>
        <w:t xml:space="preserve"> </w:t>
      </w:r>
      <w:r>
        <w:t xml:space="preserve">Data collection (audit reports + interviews)</w:t>
      </w:r>
    </w:p>
    <w:p>
      <w:pPr>
        <w:numPr>
          <w:ilvl w:val="0"/>
          <w:numId w:val="1004"/>
        </w:numPr>
        <w:pStyle w:val="Compact"/>
      </w:pPr>
      <w:r>
        <w:rPr>
          <w:iCs/>
          <w:i/>
        </w:rPr>
        <w:t xml:space="preserve">Months 10–15:</w:t>
      </w:r>
      <w:r>
        <w:t xml:space="preserve"> </w:t>
      </w:r>
      <w:r>
        <w:t xml:space="preserve">Analysis and framework development</w:t>
      </w:r>
    </w:p>
    <w:p>
      <w:pPr>
        <w:numPr>
          <w:ilvl w:val="0"/>
          <w:numId w:val="1004"/>
        </w:numPr>
        <w:pStyle w:val="Compact"/>
      </w:pPr>
      <w:r>
        <w:rPr>
          <w:iCs/>
          <w:i/>
        </w:rPr>
        <w:t xml:space="preserve">Months 16–18:</w:t>
      </w:r>
      <w:r>
        <w:t xml:space="preserve"> </w:t>
      </w:r>
      <w:r>
        <w:t xml:space="preserve">Drafting thesis and stakeholder validation workshops in **Kuwait City**</w:t>
      </w:r>
    </w:p>
    <w:bookmarkEnd w:id="26"/>
    <w:bookmarkStart w:id="27" w:name="conclusion"/>
    <w:p>
      <w:pPr>
        <w:pStyle w:val="Heading2"/>
      </w:pPr>
      <w:r>
        <w:t xml:space="preserve">8. Conclusion</w:t>
      </w:r>
    </w:p>
    <w:p>
      <w:pPr>
        <w:pStyle w:val="FirstParagraph"/>
      </w:pPr>
      <w:r>
        <w:t xml:space="preserve">In conclusion, this Thesis Proposal outlines a vital investigation into the pivotal role of the independent</w:t>
      </w:r>
      <w:r>
        <w:t xml:space="preserve"> </w:t>
      </w:r>
      <w:r>
        <w:rPr>
          <w:iCs/>
          <w:i/>
        </w:rPr>
        <w:t xml:space="preserve">Auditor</w:t>
      </w:r>
      <w:r>
        <w:t xml:space="preserve"> </w:t>
      </w:r>
      <w:r>
        <w:t xml:space="preserve">within **Kuwait City**, Kuwait’s economic nerve center. As **Kuwait** accelerates its transition toward a knowledge-based economy, the credibility of financial reporting is paramount to attracting foreign investment and securing market trust. This research will provide actionable insights to strengthen audit quality, thereby fortifying the foundation of **Kuwait City**’s financial infrastructure. The findings will directly inform policy at the CMA and professional bodies like Kuwait Institute of Banking Studies (KIBS), ensuring that the</w:t>
      </w:r>
      <w:r>
        <w:t xml:space="preserve"> </w:t>
      </w:r>
      <w:r>
        <w:rPr>
          <w:iCs/>
          <w:i/>
        </w:rPr>
        <w:t xml:space="preserve">Auditor</w:t>
      </w:r>
      <w:r>
        <w:t xml:space="preserve"> </w:t>
      </w:r>
      <w:r>
        <w:t xml:space="preserve">evolves from a passive checker to an empowered steward of economic transparency in **Kuwait**.</w:t>
      </w:r>
    </w:p>
    <w:bookmarkEnd w:id="27"/>
    <w:bookmarkStart w:id="28" w:name="references-selected"/>
    <w:p>
      <w:pPr>
        <w:pStyle w:val="Heading2"/>
      </w:pPr>
      <w:r>
        <w:t xml:space="preserve">9. References (Selected)</w:t>
      </w:r>
    </w:p>
    <w:p>
      <w:pPr>
        <w:numPr>
          <w:ilvl w:val="0"/>
          <w:numId w:val="1005"/>
        </w:numPr>
        <w:pStyle w:val="Compact"/>
      </w:pPr>
      <w:r>
        <w:t xml:space="preserve">Al-Mutairi, S. (2018). *Corporate Governance and Audit Quality in Kuwait*. Journal of Gulf Studies.</w:t>
      </w:r>
    </w:p>
    <w:p>
      <w:pPr>
        <w:numPr>
          <w:ilvl w:val="0"/>
          <w:numId w:val="1005"/>
        </w:numPr>
        <w:pStyle w:val="Compact"/>
      </w:pPr>
      <w:r>
        <w:t xml:space="preserve">KPMG. (2023). *GCC Audit Quality Survey: Kuwait Chapter*. Kuwait City.</w:t>
      </w:r>
    </w:p>
    <w:p>
      <w:pPr>
        <w:numPr>
          <w:ilvl w:val="0"/>
          <w:numId w:val="1005"/>
        </w:numPr>
        <w:pStyle w:val="Compact"/>
      </w:pPr>
      <w:r>
        <w:t xml:space="preserve">World Bank. (2021). *Kuwait Economic Monitor: Diversifying Beyond Oil*. Washington, DC.</w:t>
      </w:r>
    </w:p>
    <w:p>
      <w:pPr>
        <w:numPr>
          <w:ilvl w:val="0"/>
          <w:numId w:val="1005"/>
        </w:numPr>
        <w:pStyle w:val="Compact"/>
      </w:pPr>
      <w:r>
        <w:t xml:space="preserve">Al-Suwaidi, M. (2020). *Shariah-Compliant Auditing: A Theoretical Framework*. Islamic Accounting Journal.</w:t>
      </w:r>
    </w:p>
    <w:p>
      <w:pPr>
        <w:numPr>
          <w:ilvl w:val="0"/>
          <w:numId w:val="1005"/>
        </w:numPr>
        <w:pStyle w:val="Compact"/>
      </w:pPr>
      <w:r>
        <w:t xml:space="preserve">Kuwait Commercial Code (Article 195–203). Ministry of Justice, Kuwait.</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Independent Auditor in Financial Governance within Kuwait City, Kuwait</dc:title>
  <dc:creator/>
  <dc:language>en</dc:language>
  <cp:keywords/>
  <dcterms:created xsi:type="dcterms:W3CDTF">2026-07-15T12:38:05Z</dcterms:created>
  <dcterms:modified xsi:type="dcterms:W3CDTF">2026-07-15T12:38:05Z</dcterms:modified>
</cp:coreProperties>
</file>

<file path=docProps/custom.xml><?xml version="1.0" encoding="utf-8"?>
<Properties xmlns="http://schemas.openxmlformats.org/officeDocument/2006/custom-properties" xmlns:vt="http://schemas.openxmlformats.org/officeDocument/2006/docPropsVTypes"/>
</file>