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Amsterdam's</w:t>
      </w:r>
      <w:r>
        <w:t xml:space="preserve"> </w:t>
      </w:r>
      <w:r>
        <w:t xml:space="preserve">Financial</w:t>
      </w:r>
      <w:r>
        <w:t xml:space="preserve"> </w:t>
      </w:r>
      <w:r>
        <w:t xml:space="preserve">Ecosystem</w:t>
      </w:r>
    </w:p>
    <w:bookmarkStart w:id="28" w:name="X1a0a563ac78562e183c47eeef60a9387169607e"/>
    <w:p>
      <w:pPr>
        <w:pStyle w:val="Heading1"/>
      </w:pPr>
      <w:r>
        <w:t xml:space="preserve">Thesis Proposal: The Evolving Role of the Auditor in Netherlands Amsterdam's Financial Ecosystem</w:t>
      </w:r>
    </w:p>
    <w:bookmarkStart w:id="20" w:name="abstract"/>
    <w:p>
      <w:pPr>
        <w:pStyle w:val="Heading2"/>
      </w:pPr>
      <w:r>
        <w:t xml:space="preserve">Abstract</w:t>
      </w:r>
    </w:p>
    <w:p>
      <w:pPr>
        <w:pStyle w:val="FirstParagraph"/>
      </w:pPr>
      <w:r>
        <w:t xml:space="preserve">This Thesis Proposal outlines a research project investigating the critical transformation within the profession of the Auditor operating specifically within Netherlands Amsterdam. As a global financial hub and home to numerous multinational corporations, international institutions, and innovative fintech firms, Amsterdam presents a unique laboratory for examining how modern regulatory pressures, technological advancements (like AI in auditing), and sustainability reporting mandates are reshaping the core responsibilities and challenges faced by the Auditor. This research directly addresses gaps in understanding the practical implementation of evolving standards within this specific Dutch context. The proposed study aims to provide actionable insights for Auditors, regulatory bodies like the Netherlands Authority for Financial Markets (AFM), and businesses operating from Amsterdam, ultimately contributing to a more robust, transparent, and resilient financial landscape in the Netherlands Amsterdam region.</w:t>
      </w:r>
    </w:p>
    <w:bookmarkEnd w:id="20"/>
    <w:bookmarkStart w:id="21" w:name="introduction-problem-statement"/>
    <w:p>
      <w:pPr>
        <w:pStyle w:val="Heading2"/>
      </w:pPr>
      <w:r>
        <w:t xml:space="preserve">1. Introduction &amp; Problem Statement</w:t>
      </w:r>
    </w:p>
    <w:p>
      <w:pPr>
        <w:pStyle w:val="FirstParagraph"/>
      </w:pPr>
      <w:r>
        <w:t xml:space="preserve">The role of the Auditor is fundamental to maintaining trust in financial markets. However, within the dynamic economic environment of Netherlands Amsterdam, this role faces unprecedented pressures. The European Union's stringent regulatory framework (e.g., EU Audit Regulation, CSDDD - Corporate Sustainability Due Diligence Directive), coupled with Amsterdam's status as a leading center for ESG (Environmental, Social, Governance) finance and digital innovation, demands significant adaptation from the Auditor. Current research often focuses on broad European or national trends but lacks granular analysis of how these shifts manifest operationally within the specific ecosystem of Netherlands Amsterdam. There is a critical need to understand: How are Auditors in Amsterdam navigating complex new standards like integrated reporting, sustainability assurance, and digital evidence verification? What unique challenges arise from the city's dense concentration of financial services firms, startups, and international headquarters? This Thesis Proposal seeks to fill this vital gap.</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t xml:space="preserve">To analyze the specific regulatory landscape (Dutch GAAP, EU directives, AFM guidelines) impacting Auditors operating from Netherlands Amsterdam.</w:t>
      </w:r>
    </w:p>
    <w:p>
      <w:pPr>
        <w:numPr>
          <w:ilvl w:val="0"/>
          <w:numId w:val="1001"/>
        </w:numPr>
        <w:pStyle w:val="Compact"/>
      </w:pPr>
      <w:r>
        <w:t xml:space="preserve">To identify and evaluate the most pressing operational challenges faced by contemporary Auditors within Amsterdam's unique business environment (e.g., fintech audit complexities, ESG assurance demands on multinationals).</w:t>
      </w:r>
    </w:p>
    <w:p>
      <w:pPr>
        <w:numPr>
          <w:ilvl w:val="0"/>
          <w:numId w:val="1001"/>
        </w:numPr>
        <w:pStyle w:val="Compact"/>
      </w:pPr>
      <w:r>
        <w:t xml:space="preserve">To assess the adoption and impact of new technologies (AI, data analytics) on audit methodologies by firms based in Amsterdam.</w:t>
      </w:r>
    </w:p>
    <w:p>
      <w:pPr>
        <w:numPr>
          <w:ilvl w:val="0"/>
          <w:numId w:val="1001"/>
        </w:numPr>
        <w:pStyle w:val="Compact"/>
      </w:pPr>
      <w:r>
        <w:t xml:space="preserve">To explore the evolving professional expectations and ethical considerations for the Auditor in this context.</w:t>
      </w:r>
    </w:p>
    <w:p>
      <w:pPr>
        <w:numPr>
          <w:ilvl w:val="0"/>
          <w:numId w:val="1001"/>
        </w:numPr>
        <w:pStyle w:val="Compact"/>
      </w:pPr>
      <w:r>
        <w:t xml:space="preserve">To develop practical recommendations for Auditors, educational institutions training future Auditors, and regulators like the AFM to enhance audit quality and relevance within Netherlands Amsterdam.</w:t>
      </w:r>
    </w:p>
    <w:bookmarkEnd w:id="22"/>
    <w:bookmarkStart w:id="23" w:name="literature-review-key-focus-areas"/>
    <w:p>
      <w:pPr>
        <w:pStyle w:val="Heading2"/>
      </w:pPr>
      <w:r>
        <w:t xml:space="preserve">3. Literature Review (Key Focus Areas)</w:t>
      </w:r>
    </w:p>
    <w:p>
      <w:pPr>
        <w:pStyle w:val="FirstParagraph"/>
      </w:pPr>
      <w:r>
        <w:t xml:space="preserve">Existing literature on auditing highlights global trends like the move towards assurance services beyond financial statements (e.g., sustainability reporting) and the impact of technology (KPMG, 2023; IIA, 2024). However, studies focusing specifically on Netherlands Amsterdam are scarce. Research by Van der Wegen et al. (2021) touches on Dutch regulatory compliance but lacks depth on Amsterdam's operational realities. Studies on ESG auditing (e.g., Böhm et al., 2023) often generalize across the EU, ignoring the distinct concentration of ESG-focused entities in Amsterdam. This Thesis Proposal directly addresses this geographical and contextual specificity. It will build upon foundational audit theory while critically engaging with Dutch-specific regulations, such as those published by the Netherlands Accounting Standards Board (Nederlandse Accountants en Fiscalisten Raad - NAFR), and analyze case studies from Amsterdam-based firms to ground the findings in local practice.</w:t>
      </w:r>
    </w:p>
    <w:bookmarkEnd w:id="23"/>
    <w:bookmarkStart w:id="24" w:name="methodology"/>
    <w:p>
      <w:pPr>
        <w:pStyle w:val="Heading2"/>
      </w:pPr>
      <w:r>
        <w:t xml:space="preserve">4. Methodology</w:t>
      </w:r>
    </w:p>
    <w:p>
      <w:pPr>
        <w:pStyle w:val="FirstParagraph"/>
      </w:pPr>
      <w:r>
        <w:t xml:space="preserve">This research employs a mixed-methods approach, designed for depth within the Netherlands Amsterdam context:</w:t>
      </w:r>
    </w:p>
    <w:p>
      <w:pPr>
        <w:numPr>
          <w:ilvl w:val="0"/>
          <w:numId w:val="1002"/>
        </w:numPr>
        <w:pStyle w:val="Compact"/>
      </w:pPr>
      <w:r>
        <w:rPr>
          <w:bCs/>
          <w:b/>
        </w:rPr>
        <w:t xml:space="preserve">Qualitative Case Studies:</w:t>
      </w:r>
      <w:r>
        <w:t xml:space="preserve"> </w:t>
      </w:r>
      <w:r>
        <w:t xml:space="preserve">In-depth interviews (approx. 15-20) with senior Auditors from major firms (PwC Amsterdam, Deloitte Amsterdam, EY Netherlands) and specialized audit practices operating within the city, focusing on their day-to-day challenges with new standards and technologies.</w:t>
      </w:r>
    </w:p>
    <w:p>
      <w:pPr>
        <w:numPr>
          <w:ilvl w:val="0"/>
          <w:numId w:val="1002"/>
        </w:numPr>
        <w:pStyle w:val="Compact"/>
      </w:pPr>
      <w:r>
        <w:rPr>
          <w:bCs/>
          <w:b/>
        </w:rPr>
        <w:t xml:space="preserve">Semi-Structured Surveys:</w:t>
      </w:r>
      <w:r>
        <w:t xml:space="preserve"> </w:t>
      </w:r>
      <w:r>
        <w:t xml:space="preserve">A targeted survey distributed to a larger cohort of Auditors across various firms in Amsterdam to quantify experiences with specific challenges (e.g., time spent on ESG assurance, adoption rates of audit tech tools).</w:t>
      </w:r>
    </w:p>
    <w:p>
      <w:pPr>
        <w:numPr>
          <w:ilvl w:val="0"/>
          <w:numId w:val="1002"/>
        </w:numPr>
        <w:pStyle w:val="Compact"/>
      </w:pPr>
      <w:r>
        <w:rPr>
          <w:bCs/>
          <w:b/>
        </w:rPr>
        <w:t xml:space="preserve">Document Analysis:</w:t>
      </w:r>
      <w:r>
        <w:t xml:space="preserve"> </w:t>
      </w:r>
      <w:r>
        <w:t xml:space="preserve">Examination of key regulatory documents from the AFM and Dutch Ministry of Finance, relevant case law within Netherlands Amsterdam, and recent reports from the International Auditing and Assurance Standards Board (IAASB) as applied locally.</w:t>
      </w:r>
    </w:p>
    <w:p>
      <w:pPr>
        <w:numPr>
          <w:ilvl w:val="0"/>
          <w:numId w:val="1002"/>
        </w:numPr>
        <w:pStyle w:val="Compact"/>
      </w:pPr>
      <w:r>
        <w:rPr>
          <w:bCs/>
          <w:b/>
        </w:rPr>
        <w:t xml:space="preserve">Comparative Element:</w:t>
      </w:r>
      <w:r>
        <w:t xml:space="preserve"> </w:t>
      </w:r>
      <w:r>
        <w:t xml:space="preserve">Brief comparative insights with audit practices in other major European financial centers (e.g., London, Luxembourg) to highlight Amsterdam's unique position within the Netherlands Amsterdam ecosystem.</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for both academic and practical impact:</w:t>
      </w:r>
    </w:p>
    <w:p>
      <w:pPr>
        <w:numPr>
          <w:ilvl w:val="0"/>
          <w:numId w:val="1003"/>
        </w:numPr>
        <w:pStyle w:val="Compact"/>
      </w:pPr>
      <w:r>
        <w:rPr>
          <w:bCs/>
          <w:b/>
        </w:rPr>
        <w:t xml:space="preserve">For Auditors in Netherlands Amsterdam:</w:t>
      </w:r>
      <w:r>
        <w:t xml:space="preserve"> </w:t>
      </w:r>
      <w:r>
        <w:t xml:space="preserve">Provides concrete, context-specific insights to navigate evolving demands, improve efficiency (e.g., via targeted tech adoption), and enhance professional practice.</w:t>
      </w:r>
    </w:p>
    <w:p>
      <w:pPr>
        <w:numPr>
          <w:ilvl w:val="0"/>
          <w:numId w:val="1003"/>
        </w:numPr>
        <w:pStyle w:val="Compact"/>
      </w:pPr>
      <w:r>
        <w:rPr>
          <w:bCs/>
          <w:b/>
        </w:rPr>
        <w:t xml:space="preserve">For Regulatory Bodies (AFM):</w:t>
      </w:r>
      <w:r>
        <w:t xml:space="preserve"> </w:t>
      </w:r>
      <w:r>
        <w:t xml:space="preserve">Offers empirical evidence on the practical effects of current regulations within Amsterdam's unique market, informing future policy development and guidance tailored to the city's ecosystem.</w:t>
      </w:r>
    </w:p>
    <w:p>
      <w:pPr>
        <w:numPr>
          <w:ilvl w:val="0"/>
          <w:numId w:val="1003"/>
        </w:numPr>
        <w:pStyle w:val="Compact"/>
      </w:pPr>
      <w:r>
        <w:rPr>
          <w:bCs/>
          <w:b/>
        </w:rPr>
        <w:t xml:space="preserve">For Businesses (Amsterdam HQs &amp; Multinationals):</w:t>
      </w:r>
      <w:r>
        <w:t xml:space="preserve"> </w:t>
      </w:r>
      <w:r>
        <w:t xml:space="preserve">Clarifies Auditor expectations, potentially reducing friction in audit processes and improving understanding of reporting requirements.</w:t>
      </w:r>
    </w:p>
    <w:p>
      <w:pPr>
        <w:numPr>
          <w:ilvl w:val="0"/>
          <w:numId w:val="1003"/>
        </w:numPr>
        <w:pStyle w:val="Compact"/>
      </w:pPr>
      <w:r>
        <w:rPr>
          <w:bCs/>
          <w:b/>
        </w:rPr>
        <w:t xml:space="preserve">Academic Contribution:</w:t>
      </w:r>
      <w:r>
        <w:t xml:space="preserve"> </w:t>
      </w:r>
      <w:r>
        <w:t xml:space="preserve">Fills a critical gap in the literature by providing a detailed, geographically anchored study of the Auditor's evolving role within one of Europe's most significant financial centers – Netherlands Amsterdam. This adds valuable nuance to global audit theory.</w:t>
      </w:r>
    </w:p>
    <w:bookmarkEnd w:id="25"/>
    <w:bookmarkStart w:id="26" w:name="timeline-feasibility"/>
    <w:p>
      <w:pPr>
        <w:pStyle w:val="Heading2"/>
      </w:pPr>
      <w:r>
        <w:t xml:space="preserve">6. Timeline &amp; Feasibility</w:t>
      </w:r>
    </w:p>
    <w:p>
      <w:pPr>
        <w:pStyle w:val="FirstParagraph"/>
      </w:pPr>
      <w:r>
        <w:t xml:space="preserve">Conducting this research within Netherlands Amsterdam is highly feasible due to:</w:t>
      </w:r>
    </w:p>
    <w:p>
      <w:pPr>
        <w:numPr>
          <w:ilvl w:val="0"/>
          <w:numId w:val="1004"/>
        </w:numPr>
        <w:pStyle w:val="Compact"/>
      </w:pPr>
      <w:r>
        <w:rPr>
          <w:bCs/>
          <w:b/>
        </w:rPr>
        <w:t xml:space="preserve">Access:</w:t>
      </w:r>
      <w:r>
        <w:t xml:space="preserve"> </w:t>
      </w:r>
      <w:r>
        <w:t xml:space="preserve">Proximity to major audit firms, the AFM headquarters (Amsterdam), and a vibrant academic community (University of Amsterdam, Vrije Universiteit Amsterdam) with strong accounting/finance departments.</w:t>
      </w:r>
    </w:p>
    <w:p>
      <w:pPr>
        <w:numPr>
          <w:ilvl w:val="0"/>
          <w:numId w:val="1004"/>
        </w:numPr>
        <w:pStyle w:val="Compact"/>
      </w:pPr>
      <w:r>
        <w:rPr>
          <w:bCs/>
          <w:b/>
        </w:rPr>
        <w:t xml:space="preserve">Relevance:</w:t>
      </w:r>
      <w:r>
        <w:t xml:space="preserve"> </w:t>
      </w:r>
      <w:r>
        <w:t xml:space="preserve">The topic is acutely relevant to current industry debates in the Netherlands and Europe, ensuring stakeholder engagement for interviews and surveys.</w:t>
      </w:r>
    </w:p>
    <w:p>
      <w:pPr>
        <w:numPr>
          <w:ilvl w:val="0"/>
          <w:numId w:val="1004"/>
        </w:numPr>
        <w:pStyle w:val="Compact"/>
      </w:pPr>
      <w:r>
        <w:rPr>
          <w:bCs/>
          <w:b/>
        </w:rPr>
        <w:t xml:space="preserve">Resources:</w:t>
      </w:r>
      <w:r>
        <w:t xml:space="preserve"> </w:t>
      </w:r>
      <w:r>
        <w:t xml:space="preserve">Established research protocols and ethical approvals available through university channels (e.g., University of Amsterdam Faculty of Economics and Business).</w:t>
      </w:r>
    </w:p>
    <w:p>
      <w:pPr>
        <w:pStyle w:val="FirstParagraph"/>
      </w:pPr>
      <w:r>
        <w:t xml:space="preserve">The proposed timeline spans 12 months: Months 1-3 (Literature Review &amp; Instrument Design), Months 4-8 (Data Collection - Interviews/Surveys), Months 9-10 (Analysis), Month 11 (Drafting Report), Month 12 (Final Thesis Submission and Recommendations).</w:t>
      </w:r>
    </w:p>
    <w:bookmarkEnd w:id="26"/>
    <w:bookmarkStart w:id="27" w:name="conclusion"/>
    <w:p>
      <w:pPr>
        <w:pStyle w:val="Heading2"/>
      </w:pPr>
      <w:r>
        <w:t xml:space="preserve">7. Conclusion</w:t>
      </w:r>
    </w:p>
    <w:p>
      <w:pPr>
        <w:pStyle w:val="FirstParagraph"/>
      </w:pPr>
      <w:r>
        <w:t xml:space="preserve">The role of the Auditor in Netherlands Amsterdam is at a pivotal juncture. Navigating the confluence of complex EU regulations, Amsterdam's unique position as a hub for innovation and sustainability finance, and rapid technological change demands focused research. This Thesis Proposal outlines a necessary investigation into how Auditors are adapting their practices within this specific environment. By concentrating on Netherlands Amsterdam, this research moves beyond abstract theory to deliver actionable knowledge that can strengthen audit quality, enhance financial market integrity, and support the continued success of the Dutch capital as a global financial center. The findings from this Thesis Proposal will be crucial for guiding the future direction of auditing practice in one of Europe's most important urban financial ecosystems.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Netherlands Amsterdam's Financial Ecosystem</dc:title>
  <dc:creator/>
  <dc:language>en</dc:language>
  <cp:keywords/>
  <dcterms:created xsi:type="dcterms:W3CDTF">2026-04-30T14:01:49Z</dcterms:created>
  <dcterms:modified xsi:type="dcterms:W3CDTF">2026-04-30T14:01:49Z</dcterms:modified>
</cp:coreProperties>
</file>

<file path=docProps/custom.xml><?xml version="1.0" encoding="utf-8"?>
<Properties xmlns="http://schemas.openxmlformats.org/officeDocument/2006/custom-properties" xmlns:vt="http://schemas.openxmlformats.org/officeDocument/2006/docPropsVTypes"/>
</file>