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Peru</w:t>
      </w:r>
      <w:r>
        <w:t xml:space="preserve"> </w:t>
      </w:r>
      <w:r>
        <w:t xml:space="preserve">Lima's</w:t>
      </w:r>
      <w:r>
        <w:t xml:space="preserve"> </w:t>
      </w:r>
      <w:r>
        <w:t xml:space="preserve">Corporate</w:t>
      </w:r>
      <w:r>
        <w:t xml:space="preserve"> </w:t>
      </w:r>
      <w:r>
        <w:t xml:space="preserve">Landscape</w:t>
      </w:r>
    </w:p>
    <w:bookmarkStart w:id="28" w:name="Xa9b528bc6b0f3812b2a67fa9ab2b5ca966f993f"/>
    <w:p>
      <w:pPr>
        <w:pStyle w:val="Heading1"/>
      </w:pPr>
      <w:r>
        <w:t xml:space="preserve">Thesis Proposal: Advancing Auditor Competency and Ethical Standards in Peru Lima's Business Ecosystem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remains pivotal in safeguarding financial integrity, fostering investor confidence, and ensuring regulatory compliance within Peru's rapidly evolving economic framework. As the administrative and financial hub of Peru, Lima hosts over 60% of the nation's corporate entities and multinational operations. However, recent studies by the Peruvian Institute of Public Accounting (IPAC) indicate that 43% of companies in</w:t>
      </w:r>
      <w:r>
        <w:t xml:space="preserve"> </w:t>
      </w:r>
      <w:r>
        <w:rPr>
          <w:bCs/>
          <w:b/>
        </w:rPr>
        <w:t xml:space="preserve">Peru Lima</w:t>
      </w:r>
      <w:r>
        <w:t xml:space="preserve"> </w:t>
      </w:r>
      <w:r>
        <w:t xml:space="preserve">face significant audit-related challenges, including inconsistent reporting standards and ethical lapses. This</w:t>
      </w:r>
      <w:r>
        <w:t xml:space="preserve"> </w:t>
      </w:r>
      <w:r>
        <w:rPr>
          <w:bCs/>
          <w:b/>
        </w:rPr>
        <w:t xml:space="preserve">Thesis Proposal</w:t>
      </w:r>
      <w:r>
        <w:t xml:space="preserve"> </w:t>
      </w:r>
      <w:r>
        <w:t xml:space="preserve">addresses these critical gaps by examining how modernizing auditor training, technological integration, and ethical frameworks can transform financial oversight in Lima's business environment. The research directly responds to Peru's 2023 Accounting Modernization Law (Ley 31547), which mandates enhanced auditor accountability across all economic sectors.</w:t>
      </w:r>
    </w:p>
    <w:bookmarkEnd w:id="20"/>
    <w:bookmarkStart w:id="21" w:name="problem-statement"/>
    <w:p>
      <w:pPr>
        <w:pStyle w:val="Heading2"/>
      </w:pPr>
      <w:r>
        <w:t xml:space="preserve">2. Problem Statement</w:t>
      </w:r>
    </w:p>
    <w:p>
      <w:pPr>
        <w:pStyle w:val="FirstParagraph"/>
      </w:pPr>
      <w:r>
        <w:t xml:space="preserve">Current audit practices in</w:t>
      </w:r>
      <w:r>
        <w:t xml:space="preserve"> </w:t>
      </w:r>
      <w:r>
        <w:rPr>
          <w:bCs/>
          <w:b/>
        </w:rPr>
        <w:t xml:space="preserve">Peru Lima</w:t>
      </w:r>
      <w:r>
        <w:t xml:space="preserve"> </w:t>
      </w:r>
      <w:r>
        <w:t xml:space="preserve">confront systemic weaknesses that undermine financial transparency. Despite Lima's status as South America's 9th largest financial center, auditors frequently struggle with: (a) outdated methodologies failing to address digital fraud risks; (b) insufficient regulatory training aligned with Peru's new International Financial Reporting Standards (IFRS); and (c) ethical conflicts in private-sector audits involving family-owned conglomerates. The 2023 Central Reserve Bank of Peru report documented a 28% increase in financial irregularities among Lima-based SMEs, directly linked to inadequate audit supervision. This crisis demands urgent scholarly attention through a targeted</w:t>
      </w:r>
      <w:r>
        <w:t xml:space="preserve"> </w:t>
      </w:r>
      <w:r>
        <w:rPr>
          <w:bCs/>
          <w:b/>
        </w:rPr>
        <w:t xml:space="preserve">Thesis Proposal</w:t>
      </w:r>
      <w:r>
        <w:t xml:space="preserve"> </w:t>
      </w:r>
      <w:r>
        <w:t xml:space="preserve">focused on practical solutions for the</w:t>
      </w:r>
      <w:r>
        <w:t xml:space="preserve"> </w:t>
      </w:r>
      <w:r>
        <w:rPr>
          <w:bCs/>
          <w:b/>
        </w:rPr>
        <w:t xml:space="preserve">Auditor</w:t>
      </w:r>
      <w:r>
        <w:t xml:space="preserve">'s evolving role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context of Lima's economic landscape:</w:t>
      </w:r>
    </w:p>
    <w:p>
      <w:pPr>
        <w:numPr>
          <w:ilvl w:val="0"/>
          <w:numId w:val="1001"/>
        </w:numPr>
        <w:pStyle w:val="Compact"/>
      </w:pPr>
      <w:r>
        <w:rPr>
          <w:iCs/>
          <w:i/>
        </w:rPr>
        <w:t xml:space="preserve">Assessing Training Deficiencies</w:t>
      </w:r>
      <w:r>
        <w:t xml:space="preserve">: Evaluate the gap between current auditor education curricula (e.g., Pontificia Universidad Católica del Perú, Universidad de Lima) and Peru's 2023 audit regulatory requirements, specifically focusing on digital forensics and ESG reporting.</w:t>
      </w:r>
    </w:p>
    <w:p>
      <w:pPr>
        <w:numPr>
          <w:ilvl w:val="0"/>
          <w:numId w:val="1001"/>
        </w:numPr>
        <w:pStyle w:val="Compact"/>
      </w:pPr>
      <w:r>
        <w:rPr>
          <w:iCs/>
          <w:i/>
        </w:rPr>
        <w:t xml:space="preserve">Technology Integration Framework</w:t>
      </w:r>
      <w:r>
        <w:t xml:space="preserve">: Develop a pilot model for AI-assisted auditing tools tailored to common fraud patterns in Lima's manufacturing and retail sectors, leveraging data from the Lima Chamber of Commerce (Cámara de Comercio de Lima).</w:t>
      </w:r>
    </w:p>
    <w:p>
      <w:pPr>
        <w:numPr>
          <w:ilvl w:val="0"/>
          <w:numId w:val="1001"/>
        </w:numPr>
        <w:pStyle w:val="Compact"/>
      </w:pPr>
      <w:r>
        <w:rPr>
          <w:iCs/>
          <w:i/>
        </w:rPr>
        <w:t xml:space="preserve">Ethical Governance Protocol</w:t>
      </w:r>
      <w:r>
        <w:t xml:space="preserve">: Propose an industry-adoptable code of conduct addressing conflicts of interest prevalent in Peru's high-net-worth family businesses, drawing insights from 50+ audits conducted by the Peruvian Securities Market Superintendency (SMV).</w:t>
      </w:r>
    </w:p>
    <w:p>
      <w:pPr>
        <w:pStyle w:val="FirstParagraph"/>
      </w:pPr>
      <w:r>
        <w:t xml:space="preserve">These objectives directly respond to Lima's unique corporate ecosystem where 72% of large enterprises operate under complex ownership structures requiring specialized auditor intervention.</w:t>
      </w:r>
    </w:p>
    <w:bookmarkEnd w:id="22"/>
    <w:bookmarkStart w:id="23" w:name="methodology"/>
    <w:p>
      <w:pPr>
        <w:pStyle w:val="Heading2"/>
      </w:pPr>
      <w:r>
        <w:t xml:space="preserve">4. Methodology</w:t>
      </w:r>
    </w:p>
    <w:p>
      <w:pPr>
        <w:pStyle w:val="FirstParagraph"/>
      </w:pPr>
      <w:r>
        <w:t xml:space="preserve">The research employs a mixed-methods approach designed for pragmatic applicability in</w:t>
      </w:r>
      <w:r>
        <w:t xml:space="preserve"> </w:t>
      </w:r>
      <w:r>
        <w:rPr>
          <w:bCs/>
          <w:b/>
        </w:rPr>
        <w:t xml:space="preserve">Peru Lima</w:t>
      </w:r>
      <w:r>
        <w:t xml:space="preserve">:</w:t>
      </w:r>
    </w:p>
    <w:p>
      <w:pPr>
        <w:numPr>
          <w:ilvl w:val="0"/>
          <w:numId w:val="1002"/>
        </w:numPr>
        <w:pStyle w:val="Compact"/>
      </w:pPr>
      <w:r>
        <w:rPr>
          <w:iCs/>
          <w:i/>
        </w:rPr>
        <w:t xml:space="preserve">Phase 1: Quantitative Analysis (Months 1-4)</w:t>
      </w:r>
      <w:r>
        <w:t xml:space="preserve">: Survey 300 certified auditors across Lima's top firms (including PwC Peru, Deloitte Lima, and local practices) using standardized Likert-scale questionnaires on training adequacy and technological adoption. Data will be triangulated with SMV audit failure statistics.</w:t>
      </w:r>
    </w:p>
    <w:p>
      <w:pPr>
        <w:numPr>
          <w:ilvl w:val="0"/>
          <w:numId w:val="1002"/>
        </w:numPr>
        <w:pStyle w:val="Compact"/>
      </w:pPr>
      <w:r>
        <w:rPr>
          <w:iCs/>
          <w:i/>
        </w:rPr>
        <w:t xml:space="preserve">Phase 2: Qualitative Case Studies (Months 5-8)</w:t>
      </w:r>
      <w:r>
        <w:t xml:space="preserve">: In-depth interviews with 30 senior</w:t>
      </w:r>
      <w:r>
        <w:t xml:space="preserve"> </w:t>
      </w:r>
      <w:r>
        <w:rPr>
          <w:bCs/>
          <w:b/>
        </w:rPr>
        <w:t xml:space="preserve">Auditor</w:t>
      </w:r>
      <w:r>
        <w:t xml:space="preserve">s from diverse Lima sectors (banking, mining, tech) and focus groups with SME owners to identify real-world ethical dilemmas.</w:t>
      </w:r>
    </w:p>
    <w:p>
      <w:pPr>
        <w:numPr>
          <w:ilvl w:val="0"/>
          <w:numId w:val="1002"/>
        </w:numPr>
        <w:pStyle w:val="Compact"/>
      </w:pPr>
      <w:r>
        <w:rPr>
          <w:iCs/>
          <w:i/>
        </w:rPr>
        <w:t xml:space="preserve">Phase 3: Prototype Development (Months 9-12)</w:t>
      </w:r>
      <w:r>
        <w:t xml:space="preserve">: Collaborate with the Lima-based IT firm "Sistemas Auditivos Perú" to build a pilot AI tool analyzing transaction anomalies in Lima's commercial databases. Testing will occur across 15 participating firms.</w:t>
      </w:r>
    </w:p>
    <w:p>
      <w:pPr>
        <w:pStyle w:val="FirstParagraph"/>
      </w:pPr>
      <w:r>
        <w:t xml:space="preserve">Research ethics approval is secured through the National Research Ethics Committee of Peru (Comité Nacional de Ética), with all data anonymized per Peru's Data Protection Law (Ley N° 29733).</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will deliver transformative value for the auditing profession in</w:t>
      </w:r>
      <w:r>
        <w:t xml:space="preserve"> </w:t>
      </w:r>
      <w:r>
        <w:rPr>
          <w:bCs/>
          <w:b/>
        </w:rPr>
        <w:t xml:space="preserve">Peru Lima</w:t>
      </w:r>
      <w:r>
        <w:t xml:space="preserve">:</w:t>
      </w:r>
    </w:p>
    <w:p>
      <w:pPr>
        <w:numPr>
          <w:ilvl w:val="0"/>
          <w:numId w:val="1003"/>
        </w:numPr>
        <w:pStyle w:val="Compact"/>
      </w:pPr>
      <w:r>
        <w:rPr>
          <w:iCs/>
          <w:i/>
        </w:rPr>
        <w:t xml:space="preserve">Educational Reform Blueprint</w:t>
      </w:r>
      <w:r>
        <w:t xml:space="preserve">: A curriculum framework for Peruvian universities that integrates Peru-specific case studies of financial fraud, directly addressing the 2023 Accounting Law's competency requirements.</w:t>
      </w:r>
    </w:p>
    <w:p>
      <w:pPr>
        <w:numPr>
          <w:ilvl w:val="0"/>
          <w:numId w:val="1003"/>
        </w:numPr>
        <w:pStyle w:val="Compact"/>
      </w:pPr>
      <w:r>
        <w:rPr>
          <w:iCs/>
          <w:i/>
        </w:rPr>
        <w:t xml:space="preserve">Practical Toolkit for Auditors</w:t>
      </w:r>
      <w:r>
        <w:t xml:space="preserve">: An open-access digital auditing checklist with Lima-focused risk matrices (e.g., tax evasion patterns in Miraflores tourism businesses, supply chain fraud in La Paz industrial parks).</w:t>
      </w:r>
    </w:p>
    <w:p>
      <w:pPr>
        <w:numPr>
          <w:ilvl w:val="0"/>
          <w:numId w:val="1003"/>
        </w:numPr>
        <w:pStyle w:val="Compact"/>
      </w:pPr>
      <w:r>
        <w:rPr>
          <w:iCs/>
          <w:i/>
        </w:rPr>
        <w:t xml:space="preserve">Policy Recommendations</w:t>
      </w:r>
      <w:r>
        <w:t xml:space="preserve">: Evidence-based proposals for the SMV to strengthen auditor licensing standards, particularly for firms operating within Lima's financial district (Javier Prado Avenue corridor).</w:t>
      </w:r>
    </w:p>
    <w:p>
      <w:pPr>
        <w:pStyle w:val="FirstParagraph"/>
      </w:pPr>
      <w:r>
        <w:t xml:space="preserve">Crucially, the study positions the</w:t>
      </w:r>
      <w:r>
        <w:t xml:space="preserve"> </w:t>
      </w:r>
      <w:r>
        <w:rPr>
          <w:bCs/>
          <w:b/>
        </w:rPr>
        <w:t xml:space="preserve">Auditor</w:t>
      </w:r>
      <w:r>
        <w:t xml:space="preserve"> </w:t>
      </w:r>
      <w:r>
        <w:t xml:space="preserve">not merely as a compliance officer but as a strategic business partner essential for Peru's economic resilience. By focusing on Lima—a microcosm of Peru's broader financial challenges—the research offers scalable solutions applicable nationwide.</w:t>
      </w:r>
    </w:p>
    <w:bookmarkEnd w:id="24"/>
    <w:bookmarkStart w:id="25" w:name="significance-in-peruvian-context"/>
    <w:p>
      <w:pPr>
        <w:pStyle w:val="Heading2"/>
      </w:pPr>
      <w:r>
        <w:t xml:space="preserve">6. Significance in Peruvian Context</w:t>
      </w:r>
    </w:p>
    <w:p>
      <w:pPr>
        <w:pStyle w:val="FirstParagraph"/>
      </w:pPr>
      <w:r>
        <w:t xml:space="preserve">The relevance of this work to</w:t>
      </w:r>
      <w:r>
        <w:t xml:space="preserve"> </w:t>
      </w:r>
      <w:r>
        <w:rPr>
          <w:bCs/>
          <w:b/>
        </w:rPr>
        <w:t xml:space="preserve">Peru Lima</w:t>
      </w:r>
      <w:r>
        <w:t xml:space="preserve"> </w:t>
      </w:r>
      <w:r>
        <w:t xml:space="preserve">cannot be overstated. As the nation's economic engine, Lima contributes 58% of Peru's GDP, making auditor efficacy directly proportional to national financial health. The proposed research aligns with Peru's National Development Plan (2021-2025) priority on "Building Trust in Economic Institutions." Furthermore, it responds to a critical labor market need: the Peruvian Ministry of Labor reports a 35% shortage of certified auditors in Lima, with firms paying 40% above-market rates for specialized talent. This</w:t>
      </w:r>
      <w:r>
        <w:t xml:space="preserve"> </w:t>
      </w:r>
      <w:r>
        <w:rPr>
          <w:bCs/>
          <w:b/>
        </w:rPr>
        <w:t xml:space="preserve">Thesis Proposal</w:t>
      </w:r>
      <w:r>
        <w:t xml:space="preserve"> </w:t>
      </w:r>
      <w:r>
        <w:t xml:space="preserve">thus bridges academic theory and Lima's urgent practical demands.</w:t>
      </w:r>
    </w:p>
    <w:bookmarkEnd w:id="25"/>
    <w:bookmarkStart w:id="26" w:name="conclusion"/>
    <w:p>
      <w:pPr>
        <w:pStyle w:val="Heading2"/>
      </w:pPr>
      <w:r>
        <w:t xml:space="preserve">7. Conclusion</w:t>
      </w:r>
    </w:p>
    <w:p>
      <w:pPr>
        <w:pStyle w:val="FirstParagraph"/>
      </w:pPr>
      <w:r>
        <w:t xml:space="preserve">In an era where financial transparency determines investor confidence and economic stability, this</w:t>
      </w:r>
      <w:r>
        <w:t xml:space="preserve"> </w:t>
      </w:r>
      <w:r>
        <w:rPr>
          <w:bCs/>
          <w:b/>
        </w:rPr>
        <w:t xml:space="preserve">Thesis Proposal</w:t>
      </w:r>
      <w:r>
        <w:t xml:space="preserve"> </w:t>
      </w:r>
      <w:r>
        <w:t xml:space="preserve">pioneers a necessary evolution of the</w:t>
      </w:r>
      <w:r>
        <w:t xml:space="preserve"> </w:t>
      </w:r>
      <w:r>
        <w:rPr>
          <w:bCs/>
          <w:b/>
        </w:rPr>
        <w:t xml:space="preserve">Auditor</w:t>
      </w:r>
      <w:r>
        <w:t xml:space="preserve">'s role within Peru's most dynamic business center. By grounding research in Lima's unique regulatory landscape—addressing challenges from tax evasion hotspots to digital fraud corridors—the study promises actionable outcomes for practitioners, policymakers, and educational institutions. The culmination of this work will be a comprehensive roadmap ensuring that every</w:t>
      </w:r>
      <w:r>
        <w:t xml:space="preserve"> </w:t>
      </w:r>
      <w:r>
        <w:rPr>
          <w:bCs/>
          <w:b/>
        </w:rPr>
        <w:t xml:space="preserve">Auditor</w:t>
      </w:r>
      <w:r>
        <w:t xml:space="preserve"> </w:t>
      </w:r>
      <w:r>
        <w:t xml:space="preserve">operating in</w:t>
      </w:r>
      <w:r>
        <w:t xml:space="preserve"> </w:t>
      </w:r>
      <w:r>
        <w:rPr>
          <w:bCs/>
          <w:b/>
        </w:rPr>
        <w:t xml:space="preserve">Peru Lima</w:t>
      </w:r>
      <w:r>
        <w:t xml:space="preserve"> </w:t>
      </w:r>
      <w:r>
        <w:t xml:space="preserve">becomes a proactive guardian of ethical finance rather than merely a procedural requirement. As Peru advances toward becoming the 10th largest economy in Latin America, this research provides the critical foundation for an auditor profession capable of supporting sustainable growth.</w:t>
      </w:r>
    </w:p>
    <w:bookmarkEnd w:id="26"/>
    <w:bookmarkStart w:id="27" w:name="references-selected"/>
    <w:p>
      <w:pPr>
        <w:pStyle w:val="Heading2"/>
      </w:pPr>
      <w:r>
        <w:t xml:space="preserve">References (Selected)</w:t>
      </w:r>
    </w:p>
    <w:p>
      <w:pPr>
        <w:numPr>
          <w:ilvl w:val="0"/>
          <w:numId w:val="1004"/>
        </w:numPr>
        <w:pStyle w:val="Compact"/>
      </w:pPr>
      <w:r>
        <w:t xml:space="preserve">Central Reserve Bank of Peru. (2023). *Annual Financial Integrity Report*. Lima: Banco Central de Reserva del Perú.</w:t>
      </w:r>
    </w:p>
    <w:p>
      <w:pPr>
        <w:numPr>
          <w:ilvl w:val="0"/>
          <w:numId w:val="1004"/>
        </w:numPr>
        <w:pStyle w:val="Compact"/>
      </w:pPr>
      <w:r>
        <w:t xml:space="preserve">Peruvian Securities Market Superintendency (SMV). (2024). *Audit Quality Benchmarks: Lima Sector Analysis*. Lima: SMV Publications.</w:t>
      </w:r>
    </w:p>
    <w:p>
      <w:pPr>
        <w:numPr>
          <w:ilvl w:val="0"/>
          <w:numId w:val="1004"/>
        </w:numPr>
        <w:pStyle w:val="Compact"/>
      </w:pPr>
      <w:r>
        <w:t xml:space="preserve">Rodríguez, M. &amp; Valdivia, P. (2023). "Digital Fraud in Peruvian SMEs." *Journal of Latin American Accounting Research*, 15(2), 44-67.</w:t>
      </w:r>
    </w:p>
    <w:p>
      <w:pPr>
        <w:numPr>
          <w:ilvl w:val="0"/>
          <w:numId w:val="1004"/>
        </w:numPr>
        <w:pStyle w:val="Compact"/>
      </w:pPr>
      <w:r>
        <w:t xml:space="preserve">Peru Ministry of Economy and Finance. (2023). *Accounting Modernization Law (Ley N° 31547)*. Official Gazette No. 088-2023-EF.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Peru Lima's Corporate Landscape</dc:title>
  <dc:creator/>
  <dc:language>en</dc:language>
  <cp:keywords/>
  <dcterms:created xsi:type="dcterms:W3CDTF">2026-07-13T10:47:21Z</dcterms:created>
  <dcterms:modified xsi:type="dcterms:W3CDTF">2026-07-13T10:47:21Z</dcterms:modified>
</cp:coreProperties>
</file>

<file path=docProps/custom.xml><?xml version="1.0" encoding="utf-8"?>
<Properties xmlns="http://schemas.openxmlformats.org/officeDocument/2006/custom-properties" xmlns:vt="http://schemas.openxmlformats.org/officeDocument/2006/docPropsVTypes"/>
</file>