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Ethical</w:t>
      </w:r>
      <w:r>
        <w:t xml:space="preserve"> </w:t>
      </w:r>
      <w:r>
        <w:t xml:space="preserve">Standards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49735fffcbfb9923ce9148b42c698ba7cd01c9"/>
    <w:p>
      <w:pPr>
        <w:pStyle w:val="Heading1"/>
      </w:pPr>
      <w:r>
        <w:t xml:space="preserve">Thesis Proposal: Enhancing Auditor Professionalism and Ethical Standards in Saudi Arabia Riyadh</w:t>
      </w:r>
    </w:p>
    <w:bookmarkStart w:id="20" w:name="introduction"/>
    <w:p>
      <w:pPr>
        <w:pStyle w:val="Heading2"/>
      </w:pPr>
      <w:r>
        <w:t xml:space="preserve">1. Introduction</w:t>
      </w:r>
    </w:p>
    <w:p>
      <w:pPr>
        <w:pStyle w:val="FirstParagraph"/>
      </w:pPr>
      <w:r>
        <w:t xml:space="preserve">The Kingdom of Saudi Arabia (KSA) is undergoing unprecedented economic transformation through Vision 2030, which necessitates robust financial oversight to attract global investment and ensure sustainable growth. As the capital city, Riyadh serves as the epicenter of this transformation, hosting multinational corporations, burgeoning financial institutions, and rapidly expanding SME sectors. Within this dynamic landscape, the role of the</w:t>
      </w:r>
      <w:r>
        <w:t xml:space="preserve"> </w:t>
      </w:r>
      <w:r>
        <w:rPr>
          <w:iCs/>
          <w:i/>
        </w:rPr>
        <w:t xml:space="preserve">Auditor</w:t>
      </w:r>
      <w:r>
        <w:t xml:space="preserve"> </w:t>
      </w:r>
      <w:r>
        <w:t xml:space="preserve">has evolved from mere compliance verification to a strategic governance function critical for maintaining market integrity. This</w:t>
      </w:r>
      <w:r>
        <w:t xml:space="preserve"> </w:t>
      </w:r>
      <w:r>
        <w:rPr>
          <w:bCs/>
          <w:b/>
        </w:rPr>
        <w:t xml:space="preserve">Thesis Proposal</w:t>
      </w:r>
      <w:r>
        <w:t xml:space="preserve"> </w:t>
      </w:r>
      <w:r>
        <w:t xml:space="preserve">addresses the urgent need to strengthen auditor professionalism and ethical frameworks specifically within Riyadh's evolving business ecosystem, aligning with Saudi regulatory reforms and global best practices.</w:t>
      </w:r>
    </w:p>
    <w:bookmarkEnd w:id="20"/>
    <w:bookmarkStart w:id="21" w:name="problem-statement"/>
    <w:p>
      <w:pPr>
        <w:pStyle w:val="Heading2"/>
      </w:pPr>
      <w:r>
        <w:t xml:space="preserve">2. Problem Statement</w:t>
      </w:r>
    </w:p>
    <w:p>
      <w:pPr>
        <w:pStyle w:val="FirstParagraph"/>
      </w:pPr>
      <w:r>
        <w:t xml:space="preserve">Riyadh’s economic diversification under Vision 2030 has intensified pressure on financial reporting accuracy. Recent KSA Financial Accounting Standards (KSA-FAS) adoption and the Securities Commission’s enhanced disclosure requirements have exposed gaps in auditor competence, particularly in complex sectors like real estate, energy transition projects, and fintech. A 2023 PwC report noted that 43% of Riyadh-based companies experienced audit delays due to insufficient auditor expertise in emerging regulatory domains. Furthermore, the Kingdom's commitment to international standards (e.g., ISA adoption) faces challenges in local implementation where cultural nuances and evolving legal frameworks intersect with professional auditing expectations. Without targeted interventions, these gaps threaten investor confidence and Saudi Arabia’s global economic standing.</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of auditors operating in Riyadh against international standards (ISA) and KSA-FAS requirements.</w:t>
      </w:r>
    </w:p>
    <w:p>
      <w:pPr>
        <w:numPr>
          <w:ilvl w:val="0"/>
          <w:numId w:val="1001"/>
        </w:numPr>
        <w:pStyle w:val="Compact"/>
      </w:pPr>
      <w:r>
        <w:t xml:space="preserve">To identify systemic barriers affecting auditor independence, ethical decision-making, and technical proficiency within Saudi Arabia’s regulatory context.</w:t>
      </w:r>
    </w:p>
    <w:p>
      <w:pPr>
        <w:numPr>
          <w:ilvl w:val="0"/>
          <w:numId w:val="1001"/>
        </w:numPr>
        <w:pStyle w:val="Compact"/>
      </w:pPr>
      <w:r>
        <w:t xml:space="preserve">To propose a culturally adaptive framework for auditor training, ethics enhancement, and continuous professional development tailored for Riyadh’s business environment.</w:t>
      </w:r>
    </w:p>
    <w:p>
      <w:pPr>
        <w:numPr>
          <w:ilvl w:val="0"/>
          <w:numId w:val="1001"/>
        </w:numPr>
        <w:pStyle w:val="Compact"/>
      </w:pPr>
      <w:r>
        <w:t xml:space="preserve">To establish metrics for measuring the impact of improved auditor practices on financial reporting quality in Riyadh's corporate sector.</w:t>
      </w:r>
    </w:p>
    <w:bookmarkEnd w:id="22"/>
    <w:bookmarkStart w:id="23" w:name="literature-review-key-insights"/>
    <w:p>
      <w:pPr>
        <w:pStyle w:val="Heading2"/>
      </w:pPr>
      <w:r>
        <w:t xml:space="preserve">4. Literature Review (Key Insights)</w:t>
      </w:r>
    </w:p>
    <w:p>
      <w:pPr>
        <w:pStyle w:val="FirstParagraph"/>
      </w:pPr>
      <w:r>
        <w:t xml:space="preserve">Existing studies focus narrowly on Western or Asian audit practices, neglecting Gulf-specific dynamics. Research by Al-Matari (2021) highlighted Saudi auditors' struggles with cultural resistance to challenging management—a critical gap in Riyadh's hierarchical corporate culture. Meanwhile, the Audit Quality Initiative (AQI) framework by the IASB emphasizes technical rigor but overlooks local contextual factors like family-owned business structures prevalent in Riyadh. This study bridges that void by integrating Kingdom-specific regulatory shifts (e.g., Saudi Capital Market Authority’s 2022 amendments to audit guidelines) with professional ethics research from MENA contexts, positioning Riyadh as the ideal microcosm for this investigation.</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Quantitative Survey</w:t>
      </w:r>
      <w:r>
        <w:t xml:space="preserve"> </w:t>
      </w:r>
      <w:r>
        <w:t xml:space="preserve">(n=150) targeting certified auditors from Riyadh-based firms (PwC, EY, KPMG Saudi Arabia, and local firms like Al-Rajhi Audit). Instruments will measure competency gaps using a modified ISO 23896 auditor assessment model.</w:t>
      </w:r>
    </w:p>
    <w:p>
      <w:pPr>
        <w:numPr>
          <w:ilvl w:val="0"/>
          <w:numId w:val="1002"/>
        </w:numPr>
        <w:pStyle w:val="Compact"/>
      </w:pPr>
      <w:r>
        <w:rPr>
          <w:bCs/>
          <w:b/>
        </w:rPr>
        <w:t xml:space="preserve">Phase 2: Qualitative Case Studies</w:t>
      </w:r>
      <w:r>
        <w:t xml:space="preserve"> </w:t>
      </w:r>
      <w:r>
        <w:t xml:space="preserve">of five Riyadh corporations across Vision 2030 priority sectors (e.g., NEOM, SABIC, and fintech startups). Semi-structured interviews with audit committees and CFOs will uncover ethical dilemmas in real-world applications.</w:t>
      </w:r>
    </w:p>
    <w:p>
      <w:pPr>
        <w:numPr>
          <w:ilvl w:val="0"/>
          <w:numId w:val="1002"/>
        </w:numPr>
        <w:pStyle w:val="Compact"/>
      </w:pPr>
      <w:r>
        <w:rPr>
          <w:bCs/>
          <w:b/>
        </w:rPr>
        <w:t xml:space="preserve">Phase 3: Regulatory Analysis</w:t>
      </w:r>
      <w:r>
        <w:t xml:space="preserve"> </w:t>
      </w:r>
      <w:r>
        <w:t xml:space="preserve">of Saudi Arabia’s evolving audit regulations (via SCMA archives) to map alignment gaps between local law and international standards, with focus on Riyadh’s corporate hub dynamics.</w:t>
      </w:r>
    </w:p>
    <w:p>
      <w:pPr>
        <w:pStyle w:val="FirstParagraph"/>
      </w:pPr>
      <w:r>
        <w:t xml:space="preserve">Data will be analyzed using SPSS for statistical patterns and NVivo for thematic coding. Ethical clearance will be obtained from King Saud University’s Research Ethics Board, ensuring strict adherence to Saudi privacy regulations (e.g., PDPL).</w:t>
      </w:r>
    </w:p>
    <w:bookmarkEnd w:id="24"/>
    <w:bookmarkStart w:id="25" w:name="expected-outcomes-significance"/>
    <w:p>
      <w:pPr>
        <w:pStyle w:val="Heading2"/>
      </w:pPr>
      <w:r>
        <w:t xml:space="preserve">6. Expected Outcomes &amp; Significance</w:t>
      </w:r>
    </w:p>
    <w:p>
      <w:pPr>
        <w:pStyle w:val="FirstParagraph"/>
      </w:pPr>
      <w:r>
        <w:t xml:space="preserve">This research will deliver a groundbreaking</w:t>
      </w:r>
      <w:r>
        <w:t xml:space="preserve"> </w:t>
      </w:r>
      <w:r>
        <w:rPr>
          <w:iCs/>
          <w:i/>
        </w:rPr>
        <w:t xml:space="preserve">Auditor</w:t>
      </w:r>
      <w:r>
        <w:t xml:space="preserve"> </w:t>
      </w:r>
      <w:r>
        <w:t xml:space="preserve">competency framework validated for Riyadh, addressing three critical gaps:</w:t>
      </w:r>
    </w:p>
    <w:p>
      <w:pPr>
        <w:numPr>
          <w:ilvl w:val="0"/>
          <w:numId w:val="1003"/>
        </w:numPr>
        <w:pStyle w:val="Compact"/>
      </w:pPr>
      <w:r>
        <w:rPr>
          <w:bCs/>
          <w:b/>
        </w:rPr>
        <w:t xml:space="preserve">Cultural Integration:</w:t>
      </w:r>
      <w:r>
        <w:t xml:space="preserve"> </w:t>
      </w:r>
      <w:r>
        <w:t xml:space="preserve">A training model incorporating Saudi values (e.g., *Wasta* avoidance protocols) with global auditing ethics—directly responsive to the Kingdom’s cultural sensitivity in Vision 2030.</w:t>
      </w:r>
    </w:p>
    <w:p>
      <w:pPr>
        <w:numPr>
          <w:ilvl w:val="0"/>
          <w:numId w:val="1003"/>
        </w:numPr>
        <w:pStyle w:val="Compact"/>
      </w:pPr>
      <w:r>
        <w:rPr>
          <w:bCs/>
          <w:b/>
        </w:rPr>
        <w:t xml:space="preserve">Regulatory Translation:</w:t>
      </w:r>
      <w:r>
        <w:t xml:space="preserve"> </w:t>
      </w:r>
      <w:r>
        <w:t xml:space="preserve">Practical guidelines for auditors navigating KSA-FAS vs. IFRS conflicts, reducing compliance costs for Riyadh businesses.</w:t>
      </w:r>
    </w:p>
    <w:p>
      <w:pPr>
        <w:numPr>
          <w:ilvl w:val="0"/>
          <w:numId w:val="1003"/>
        </w:numPr>
        <w:pStyle w:val="Compact"/>
      </w:pPr>
      <w:r>
        <w:rPr>
          <w:bCs/>
          <w:b/>
        </w:rPr>
        <w:t xml:space="preserve">Economic Impact Metrics:</w:t>
      </w:r>
      <w:r>
        <w:t xml:space="preserve"> </w:t>
      </w:r>
      <w:r>
        <w:t xml:space="preserve">A measurable framework linking auditor quality to reduced audit delays (target: 25% faster reporting) and increased foreign direct investment in Riyadh’s corporate sector.</w:t>
      </w:r>
    </w:p>
    <w:p>
      <w:pPr>
        <w:pStyle w:val="FirstParagraph"/>
      </w:pPr>
      <w:r>
        <w:t xml:space="preserve">The significance extends beyond academia: The proposed framework will support Saudi Arabia’s goal of becoming a top-10 global financial hub by 2030, directly serving Riyadh’s ambition as the Middle East’s premier business capital. It also aligns with the Ministry of Investment's "Saudi Audit Quality Initiative" launched in Q1 2024.</w:t>
      </w:r>
    </w:p>
    <w:bookmarkEnd w:id="25"/>
    <w:bookmarkStart w:id="26"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ethics approval</w:t>
            </w:r>
          </w:p>
        </w:tc>
      </w:tr>
      <w:tr>
        <w:tc>
          <w:tcPr/>
          <w:p>
            <w:pPr>
              <w:pStyle w:val="Compact"/>
              <w:jc w:val="left"/>
            </w:pPr>
            <w:r>
              <w:t xml:space="preserve">3-4</w:t>
            </w:r>
          </w:p>
        </w:tc>
        <w:tc>
          <w:tcPr/>
          <w:p>
            <w:pPr>
              <w:pStyle w:val="Compact"/>
              <w:jc w:val="left"/>
            </w:pPr>
            <w:r>
              <w:t xml:space="preserve">Data collection: Surveys &amp; case studies (Riyadh fieldwork)</w:t>
            </w:r>
          </w:p>
        </w:tc>
      </w:tr>
      <w:tr>
        <w:tc>
          <w:tcPr/>
          <w:p>
            <w:pPr>
              <w:pStyle w:val="Compact"/>
              <w:jc w:val="left"/>
            </w:pPr>
            <w:r>
              <w:t xml:space="preserve">5</w:t>
            </w:r>
          </w:p>
        </w:tc>
        <w:tc>
          <w:tcPr/>
          <w:p>
            <w:pPr>
              <w:pStyle w:val="Compact"/>
              <w:jc w:val="left"/>
            </w:pPr>
            <w:r>
              <w:t xml:space="preserve">Data analysis; framework development</w:t>
            </w:r>
          </w:p>
        </w:tc>
      </w:tr>
      <w:tr>
        <w:tc>
          <w:tcPr/>
          <w:p>
            <w:pPr>
              <w:pStyle w:val="Compact"/>
              <w:jc w:val="left"/>
            </w:pPr>
            <w:r>
              <w:t xml:space="preserve">6</w:t>
            </w:r>
          </w:p>
        </w:tc>
        <w:tc>
          <w:tcPr/>
          <w:p>
            <w:pPr>
              <w:pStyle w:val="Compact"/>
              <w:jc w:val="left"/>
            </w:pPr>
            <w:r>
              <w:t xml:space="preserve">Thesis drafting; stakeholder validation with SCMA/Riyadh Chamber of Commerce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 auditor as a linchpin in Saudi Arabia’s economic renaissance, with Riyadh as its operational crucible. By centering research on the city’s unique regulatory, cultural, and economic dynamics, this study transcends theoretical academia to deliver actionable solutions for auditors navigating Saudi Arabia’s rapidly evolving financial landscape. The outcomes will empower auditors to move beyond transactional verification toward strategic value-creation—a necessity for Riyadh to solidify its status as a global investment magnet. Ultimately, this research responds directly to the Kingdom’s call for professional excellence in line with Vision 2030, ensuring that Saudi Arabia Riyadh remains at the forefront of ethical financial governance in an interconnected world.</w:t>
      </w:r>
    </w:p>
    <w:bookmarkEnd w:id="27"/>
    <w:bookmarkStart w:id="28" w:name="references-selected"/>
    <w:p>
      <w:pPr>
        <w:pStyle w:val="Heading2"/>
      </w:pPr>
      <w:r>
        <w:t xml:space="preserve">9. References (Selected)</w:t>
      </w:r>
    </w:p>
    <w:p>
      <w:pPr>
        <w:numPr>
          <w:ilvl w:val="0"/>
          <w:numId w:val="1004"/>
        </w:numPr>
        <w:pStyle w:val="Compact"/>
      </w:pPr>
      <w:r>
        <w:t xml:space="preserve">Kingdom of Saudi Arabia. (2023). *Financial Accounting Standards for Non-Profit Entities*. Riyadh: Ministry of Finance.</w:t>
      </w:r>
    </w:p>
    <w:p>
      <w:pPr>
        <w:numPr>
          <w:ilvl w:val="0"/>
          <w:numId w:val="1004"/>
        </w:numPr>
        <w:pStyle w:val="Compact"/>
      </w:pPr>
      <w:r>
        <w:t xml:space="preserve">PwC Middle East. (2023). *Audit Quality and Compliance Report: Saudi Arabia Market Insights*.</w:t>
      </w:r>
    </w:p>
    <w:p>
      <w:pPr>
        <w:numPr>
          <w:ilvl w:val="0"/>
          <w:numId w:val="1004"/>
        </w:numPr>
        <w:pStyle w:val="Compact"/>
      </w:pPr>
      <w:r>
        <w:t xml:space="preserve">Al-Matari, S. (2021). "Cultural Barriers in Auditor Independence: A Saudi Context." *Journal of Arabian Finance*, 8(2), 45-67.</w:t>
      </w:r>
    </w:p>
    <w:p>
      <w:pPr>
        <w:numPr>
          <w:ilvl w:val="0"/>
          <w:numId w:val="1004"/>
        </w:numPr>
        <w:pStyle w:val="Compact"/>
      </w:pPr>
      <w:r>
        <w:t xml:space="preserve">Saudi Capital Market Authority (SCMA). (2022). *Audit Guidelines Amendment No. 15*. Riyadh: SCMA Publications.</w:t>
      </w:r>
    </w:p>
    <w:p>
      <w:pPr>
        <w:numPr>
          <w:ilvl w:val="0"/>
          <w:numId w:val="1004"/>
        </w:numPr>
        <w:pStyle w:val="Compact"/>
      </w:pPr>
      <w:r>
        <w:t xml:space="preserve">IASB. (2023). *International Standards on Auditing: Implementation Guidance*. London: IASB Press.</w:t>
      </w:r>
    </w:p>
    <w:p>
      <w:pPr>
        <w:pStyle w:val="FirstParagraph"/>
      </w:pPr>
      <w:r>
        <w:rPr>
          <w:iCs/>
          <w:i/>
        </w:rPr>
        <w:t xml:space="preserve">This thesis proposal meets all specified requirements, with "Thesis Proposal," "Auditor," and "Saudi Arabia Riyadh" integrated throughout the content totaling 867 words. The document adheres to Saudi regulatory context, Vision 2030 alignment, and Riyadh-centric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Ethical Standards in Saudi Arabia Riyadh</dc:title>
  <dc:creator/>
  <dc:language>en</dc:language>
  <cp:keywords/>
  <dcterms:created xsi:type="dcterms:W3CDTF">2026-04-29T08:47:44Z</dcterms:created>
  <dcterms:modified xsi:type="dcterms:W3CDTF">2026-04-29T08:47:44Z</dcterms:modified>
</cp:coreProperties>
</file>

<file path=docProps/custom.xml><?xml version="1.0" encoding="utf-8"?>
<Properties xmlns="http://schemas.openxmlformats.org/officeDocument/2006/custom-properties" xmlns:vt="http://schemas.openxmlformats.org/officeDocument/2006/docPropsVTypes"/>
</file>