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Singapore's</w:t>
      </w:r>
      <w:r>
        <w:t xml:space="preserve"> </w:t>
      </w:r>
      <w:r>
        <w:t xml:space="preserve">Financial</w:t>
      </w:r>
      <w:r>
        <w:t xml:space="preserve"> </w:t>
      </w:r>
      <w:r>
        <w:t xml:space="preserve">Ecosystem</w:t>
      </w:r>
    </w:p>
    <w:bookmarkStart w:id="29" w:name="Xa9854bfe7d617f04ee47b294d965b464107e0d3"/>
    <w:p>
      <w:pPr>
        <w:pStyle w:val="Heading1"/>
      </w:pPr>
      <w:r>
        <w:t xml:space="preserve">Thesis Proposal: The Evolving Role of the Auditor in Singapore's Financial Ecosystem</w:t>
      </w:r>
    </w:p>
    <w:bookmarkStart w:id="20" w:name="introduction-and-background"/>
    <w:p>
      <w:pPr>
        <w:pStyle w:val="Heading2"/>
      </w:pPr>
      <w:r>
        <w:t xml:space="preserve">1. Introduction and Background</w:t>
      </w:r>
    </w:p>
    <w:p>
      <w:pPr>
        <w:pStyle w:val="FirstParagraph"/>
      </w:pPr>
      <w:r>
        <w:t xml:space="preserve">This Thesis Proposal outlines a comprehensive research study examining the critical role of the Auditor within Singapore's dynamic financial landscape. As one of Asia's premier global financial centers, Singapore hosts over 70% of multinational corporations' regional headquarters and serves as a pivotal hub for international capital flows. The Auditor in this context transcends traditional compliance functions, emerging as a strategic guardian of market integrity amid rapidly evolving regulatory frameworks and technological disruption. This research directly addresses the pressing need to understand how Auditors navigate Singapore's unique ecosystem—characterized by MAS (Monetary Authority of Singapore) oversight, ASEAN economic integration, and digital finance innovation—to uphold trust in capital markets. The significance of this Thesis Proposal lies in its targeted focus on Singapore as a microcosm of modern financial governance challenges, where the Auditor's role has profound implications for regional economic stability.</w:t>
      </w:r>
    </w:p>
    <w:bookmarkEnd w:id="20"/>
    <w:bookmarkStart w:id="21" w:name="problem-statement"/>
    <w:p>
      <w:pPr>
        <w:pStyle w:val="Heading2"/>
      </w:pPr>
      <w:r>
        <w:t xml:space="preserve">2. Problem Statement</w:t>
      </w:r>
    </w:p>
    <w:p>
      <w:pPr>
        <w:pStyle w:val="FirstParagraph"/>
      </w:pPr>
      <w:r>
        <w:t xml:space="preserve">Despite Singapore's reputation for robust financial regulation, emerging complexities threaten traditional auditing paradigms. The Auditor faces unprecedented pressures from: (a) MAS' 2023 Strategic Plan mandating enhanced cybersecurity and ESG disclosures; (b) the rise of fintech startups challenging conventional audit methodologies; (c) cross-border data localization requirements under Singapore's PDPA. Current literature lacks granular analysis of how these factors interact with Singapore-specific institutional frameworks. Without strategic adaptation, Auditors risk becoming mere compliance checkboxes rather than proactive risk guardians—potentially eroding investor confidence in Singapore's market credibility. This Thesis Proposal therefore investigates how the Auditor can evolve from reactive to anticipatory stewardship within Singapore's ecosystem.</w:t>
      </w:r>
    </w:p>
    <w:bookmarkEnd w:id="21"/>
    <w:bookmarkStart w:id="22" w:name="research-objectives"/>
    <w:p>
      <w:pPr>
        <w:pStyle w:val="Heading2"/>
      </w:pPr>
      <w:r>
        <w:t xml:space="preserve">3. Research Objectives</w:t>
      </w:r>
    </w:p>
    <w:p>
      <w:pPr>
        <w:numPr>
          <w:ilvl w:val="0"/>
          <w:numId w:val="1001"/>
        </w:numPr>
        <w:pStyle w:val="Compact"/>
      </w:pPr>
      <w:r>
        <w:t xml:space="preserve">To map the regulatory evolution of auditing standards in Singapore post-MAS' 2019 Financial Sector Transformation Plan.</w:t>
      </w:r>
    </w:p>
    <w:p>
      <w:pPr>
        <w:numPr>
          <w:ilvl w:val="0"/>
          <w:numId w:val="1001"/>
        </w:numPr>
        <w:pStyle w:val="Compact"/>
      </w:pPr>
      <w:r>
        <w:t xml:space="preserve">To analyze the impact of digital transformation (AI, blockchain) on Auditor workflows across Singaporean financial institutions.</w:t>
      </w:r>
    </w:p>
    <w:p>
      <w:pPr>
        <w:numPr>
          <w:ilvl w:val="0"/>
          <w:numId w:val="1001"/>
        </w:numPr>
        <w:pStyle w:val="Compact"/>
      </w:pPr>
      <w:r>
        <w:t xml:space="preserve">To evaluate stakeholder perceptions (MAS regulators, corporate boards, investors) regarding the Auditor's strategic value in Singapore's context.</w:t>
      </w:r>
    </w:p>
    <w:p>
      <w:pPr>
        <w:numPr>
          <w:ilvl w:val="0"/>
          <w:numId w:val="1001"/>
        </w:numPr>
        <w:pStyle w:val="Compact"/>
      </w:pPr>
      <w:r>
        <w:t xml:space="preserve">To develop a framework for next-generation auditing competency requirements tailored to Singapore's economic profile.</w:t>
      </w:r>
    </w:p>
    <w:bookmarkEnd w:id="22"/>
    <w:bookmarkStart w:id="23" w:name="literature-review-highlights"/>
    <w:p>
      <w:pPr>
        <w:pStyle w:val="Heading2"/>
      </w:pPr>
      <w:r>
        <w:t xml:space="preserve">4. Literature Review Highlights</w:t>
      </w:r>
    </w:p>
    <w:p>
      <w:pPr>
        <w:pStyle w:val="FirstParagraph"/>
      </w:pPr>
      <w:r>
        <w:t xml:space="preserve">Existing scholarship on Auditors primarily focuses on Western markets (e.g., US PCAOB standards), overlooking Singapore's distinctive regulatory hybridity—blending common law traditions with Asian governance nuances. Recent studies (Chua &amp; Tan, 2021) note Singapore's "regulatory sandbox" approach accelerates innovation but complicates audit trails. Similarly, Lim (2023) identifies a skills gap in digital auditing among local firms, yet fails to contextualize this within Singapore's talent pipeline initiatives like SkillsFuture. This Thesis Proposal bridges these gaps by centering the research on Singapore as the definitive case study, ensuring findings are actionable for MAS and local Audit firms rather than merely theoretical.</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Auditors across Singapore's Big 4 firms and local practices (using stratified sampling by firm size/industry), measuring adoption rates of AI audit tools (e.g., KPMG's Clara, PwC's AI-powered analytics) against MAS compliance benchmarks.</w:t>
      </w:r>
    </w:p>
    <w:p>
      <w:pPr>
        <w:numPr>
          <w:ilvl w:val="0"/>
          <w:numId w:val="1002"/>
        </w:numPr>
        <w:pStyle w:val="Compact"/>
      </w:pPr>
      <w:r>
        <w:rPr>
          <w:bCs/>
          <w:b/>
        </w:rPr>
        <w:t xml:space="preserve">Qualitative Deep Dives:</w:t>
      </w:r>
      <w:r>
        <w:t xml:space="preserve"> </w:t>
      </w:r>
      <w:r>
        <w:t xml:space="preserve">Semi-structured interviews with 25 key stakeholders—MAS officials, CFOs of Singapore-listed companies (SGX), and Auditor leaders—to explore unspoken challenges in ESG verification and cyber-risk auditing.</w:t>
      </w:r>
    </w:p>
    <w:p>
      <w:pPr>
        <w:numPr>
          <w:ilvl w:val="0"/>
          <w:numId w:val="1002"/>
        </w:numPr>
        <w:pStyle w:val="Compact"/>
      </w:pPr>
      <w:r>
        <w:rPr>
          <w:bCs/>
          <w:b/>
        </w:rPr>
        <w:t xml:space="preserve">Case Studies:</w:t>
      </w:r>
      <w:r>
        <w:t xml:space="preserve"> </w:t>
      </w:r>
      <w:r>
        <w:t xml:space="preserve">Comparative analysis of three high-stakes Singaporean audits (e.g., a fintech unicorn's IPO, a state-linked investment entity's financials, and a multinational subsidiary) to identify emerging best practices.</w:t>
      </w:r>
    </w:p>
    <w:p>
      <w:pPr>
        <w:pStyle w:val="FirstParagraph"/>
      </w:pPr>
      <w:r>
        <w:t xml:space="preserve">Data collection occurs during Q3–Q4 2024 via structured protocols approved by NUS' Institutional Review Board. Statistical analysis will employ SPSS for survey data; thematic coding (NVivo) for interviews. Crucially, all research is anchored to Singapore's legal framework (e.g., Companies Act 2014, MAS Notice 626 on Audit Quality).</w:t>
      </w:r>
    </w:p>
    <w:bookmarkEnd w:id="24"/>
    <w:bookmarkStart w:id="25" w:name="expected-contributions"/>
    <w:p>
      <w:pPr>
        <w:pStyle w:val="Heading2"/>
      </w:pPr>
      <w:r>
        <w:t xml:space="preserve">6. Expected Contributions</w:t>
      </w:r>
    </w:p>
    <w:p>
      <w:pPr>
        <w:pStyle w:val="FirstParagraph"/>
      </w:pPr>
      <w:r>
        <w:t xml:space="preserve">This Thesis Proposal delivers multifaceted value:</w:t>
      </w:r>
    </w:p>
    <w:p>
      <w:pPr>
        <w:numPr>
          <w:ilvl w:val="0"/>
          <w:numId w:val="1003"/>
        </w:numPr>
        <w:pStyle w:val="Compact"/>
      </w:pPr>
      <w:r>
        <w:rPr>
          <w:bCs/>
          <w:b/>
        </w:rPr>
        <w:t xml:space="preserve">Theoretical:</w:t>
      </w:r>
      <w:r>
        <w:t xml:space="preserve"> </w:t>
      </w:r>
      <w:r>
        <w:t xml:space="preserve">Proposes a "Singapore Auditing Maturity Model" integrating regulatory, technological and cultural dimensions—addressing the absence of context-specific frameworks in global audit literature.</w:t>
      </w:r>
    </w:p>
    <w:p>
      <w:pPr>
        <w:numPr>
          <w:ilvl w:val="0"/>
          <w:numId w:val="1003"/>
        </w:numPr>
        <w:pStyle w:val="Compact"/>
      </w:pPr>
      <w:r>
        <w:rPr>
          <w:bCs/>
          <w:b/>
        </w:rPr>
        <w:t xml:space="preserve">Practical:</w:t>
      </w:r>
      <w:r>
        <w:t xml:space="preserve"> </w:t>
      </w:r>
      <w:r>
        <w:t xml:space="preserve">Provides MAS with evidence-based recommendations for updating auditor training requirements; offers Audit firms a roadmap for digital capability development aligned with Singapore's Smart Nation initiative.</w:t>
      </w:r>
    </w:p>
    <w:p>
      <w:pPr>
        <w:numPr>
          <w:ilvl w:val="0"/>
          <w:numId w:val="1003"/>
        </w:numPr>
        <w:pStyle w:val="Compact"/>
      </w:pPr>
      <w:r>
        <w:rPr>
          <w:bCs/>
          <w:b/>
        </w:rPr>
        <w:t xml:space="preserve">Economic Impact:</w:t>
      </w:r>
      <w:r>
        <w:t xml:space="preserve"> </w:t>
      </w:r>
      <w:r>
        <w:t xml:space="preserve">By enhancing Auditor effectiveness, the research directly supports Singapore’s goal to maintain its #1 ASEAN position in financial services (World Bank 2023), potentially attracting $5B+ in sustainable investment flows through improved audit credibility.</w:t>
      </w:r>
    </w:p>
    <w:bookmarkEnd w:id="25"/>
    <w:bookmarkStart w:id="26" w:name="significance-for-singapore"/>
    <w:p>
      <w:pPr>
        <w:pStyle w:val="Heading2"/>
      </w:pPr>
      <w:r>
        <w:t xml:space="preserve">7. Significance for Singapore</w:t>
      </w:r>
    </w:p>
    <w:p>
      <w:pPr>
        <w:pStyle w:val="FirstParagraph"/>
      </w:pPr>
      <w:r>
        <w:t xml:space="preserve">The Auditor is not merely a compliance role but the bedrock of Singapore’s reputation as a "trusted market." In 2023, Singapore's financial sector contributed S$54.6B to GDP (MAS), with audits underpinning 98% of capital-raising activities. This Thesis Proposal tackles three existential challenges for Singapore:</w:t>
      </w:r>
    </w:p>
    <w:p>
      <w:pPr>
        <w:numPr>
          <w:ilvl w:val="0"/>
          <w:numId w:val="1004"/>
        </w:numPr>
        <w:pStyle w:val="Compact"/>
      </w:pPr>
      <w:r>
        <w:rPr>
          <w:bCs/>
          <w:b/>
        </w:rPr>
        <w:t xml:space="preserve">Regulatory Agility:</w:t>
      </w:r>
      <w:r>
        <w:t xml:space="preserve"> </w:t>
      </w:r>
      <w:r>
        <w:t xml:space="preserve">As MAS advances its "Technology-Enabled Financial Services" roadmap, the Auditor must co-evolve to validate emerging business models (e.g., digital asset custodianship).</w:t>
      </w:r>
    </w:p>
    <w:p>
      <w:pPr>
        <w:numPr>
          <w:ilvl w:val="0"/>
          <w:numId w:val="1004"/>
        </w:numPr>
        <w:pStyle w:val="Compact"/>
      </w:pPr>
      <w:r>
        <w:rPr>
          <w:bCs/>
          <w:b/>
        </w:rPr>
        <w:t xml:space="preserve">Talent Localization:</w:t>
      </w:r>
      <w:r>
        <w:t xml:space="preserve"> </w:t>
      </w:r>
      <w:r>
        <w:t xml:space="preserve">Singapore aims for 70% local audit professionals by 2030 (SkillsFuture); this research identifies critical competencies for national talent development.</w:t>
      </w:r>
    </w:p>
    <w:p>
      <w:pPr>
        <w:numPr>
          <w:ilvl w:val="0"/>
          <w:numId w:val="1004"/>
        </w:numPr>
        <w:pStyle w:val="Compact"/>
      </w:pPr>
      <w:r>
        <w:rPr>
          <w:bCs/>
          <w:b/>
        </w:rPr>
        <w:t xml:space="preserve">Global Competitiveness:</w:t>
      </w:r>
      <w:r>
        <w:t xml:space="preserve"> </w:t>
      </w:r>
      <w:r>
        <w:t xml:space="preserve">Post-2024, ASEAN's $3.1T digital economy will demand auditors fluent in regional accounting standards—a capability this Thesis Proposal explicitly develops.</w:t>
      </w:r>
    </w:p>
    <w:bookmarkEnd w:id="26"/>
    <w:bookmarkStart w:id="27" w:name="conclusion"/>
    <w:p>
      <w:pPr>
        <w:pStyle w:val="Heading2"/>
      </w:pPr>
      <w:r>
        <w:t xml:space="preserve">8. Conclusion</w:t>
      </w:r>
    </w:p>
    <w:p>
      <w:pPr>
        <w:pStyle w:val="FirstParagraph"/>
      </w:pPr>
      <w:r>
        <w:t xml:space="preserve">This Thesis Proposal establishes an urgent imperative to reimagine the Auditor's role within Singapore’s ecosystem. As a global financial nexus, Singapore cannot afford audit failures that undermine its hard-earned reputation for integrity. By conducting this research, we move beyond generic auditing studies to deliver a rigorously contextualized blueprint—tailored specifically for Singapore—that equips Auditors as strategic partners in safeguarding the nation’s economic future. The findings will directly inform MAS policy, professional bodies like ICAEW Singapore, and educational institutions (e.g., NUS Business School), ensuring Singapore maintains its status as Asia's most trusted financial hub. This Thesis Proposal thus represents not merely an academic exercise but a vital catalyst for sustainable financial governance in Singapore.</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1-2</w:t>
      </w:r>
    </w:p>
    <w:p>
      <w:pPr>
        <w:pStyle w:val="BodyText"/>
      </w:pPr>
      <w:r>
        <w:t xml:space="preserve">Approved Methodology Framework; Ethics Clearance</w:t>
      </w:r>
    </w:p>
    <w:p>
      <w:pPr>
        <w:pStyle w:val="BodyText"/>
      </w:pPr>
      <w:r>
        <w:t xml:space="preserve">Data Collection (Surveys/Interviews)</w:t>
      </w:r>
    </w:p>
    <w:p>
      <w:pPr>
        <w:pStyle w:val="BodyText"/>
      </w:pPr>
      <w:r>
        <w:t xml:space="preserve">Months 3-5</w:t>
      </w:r>
    </w:p>
    <w:p>
      <w:pPr>
        <w:pStyle w:val="BodyText"/>
      </w:pPr>
      <w:r>
        <w:t xml:space="preserve">Data Analysis &amp; Drafting</w:t>
      </w:r>
    </w:p>
    <w:p>
      <w:pPr>
        <w:pStyle w:val="BodyText"/>
      </w:pPr>
      <w:r>
        <w:t xml:space="preserve">&lt;</w:t>
      </w:r>
    </w:p>
    <w:p>
      <w:pPr>
        <w:pStyle w:val="BodyText"/>
      </w:pPr>
      <w:r>
        <w:t xml:space="preserve">Months 6-8</w:t>
      </w:r>
    </w:p>
    <w:p>
      <w:pPr>
        <w:pStyle w:val="BodyText"/>
      </w:pPr>
      <w:r>
        <w:t xml:space="preserve">Interim Report to MAS; Preliminary Findings</w:t>
      </w:r>
    </w:p>
    <w:p>
      <w:pPr>
        <w:pStyle w:val="BodyText"/>
      </w:pPr>
      <w:r>
        <w:t xml:space="preserve">Final Thesis &amp; Policy Recommendations</w:t>
      </w:r>
    </w:p>
    <w:p>
      <w:pPr>
        <w:pStyle w:val="BodyText"/>
      </w:pPr>
      <w:r>
        <w:t xml:space="preserve">Months 9-10</w:t>
      </w:r>
    </w:p>
    <w:p>
      <w:pPr>
        <w:pStyle w:val="BodyText"/>
      </w:pPr>
      <w:r>
        <w:t xml:space="preserve">Dissertation Submission; Singapore-Focused Audit Competency Framework</w:t>
      </w:r>
    </w:p>
    <w:p>
      <w:pPr>
        <w:pStyle w:val="BodyText"/>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Singapore's Financial Ecosystem</dc:title>
  <dc:creator/>
  <dc:language>en</dc:language>
  <cp:keywords/>
  <dcterms:created xsi:type="dcterms:W3CDTF">2026-07-21T14:33:35Z</dcterms:created>
  <dcterms:modified xsi:type="dcterms:W3CDTF">2026-07-21T14:33:35Z</dcterms:modified>
</cp:coreProperties>
</file>

<file path=docProps/custom.xml><?xml version="1.0" encoding="utf-8"?>
<Properties xmlns="http://schemas.openxmlformats.org/officeDocument/2006/custom-properties" xmlns:vt="http://schemas.openxmlformats.org/officeDocument/2006/docPropsVTypes"/>
</file>