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Evolution</w:t>
      </w:r>
      <w:r>
        <w:t xml:space="preserve"> </w:t>
      </w:r>
      <w:r>
        <w:t xml:space="preserve">of</w:t>
      </w:r>
      <w:r>
        <w:t xml:space="preserve"> </w:t>
      </w:r>
      <w:r>
        <w:t xml:space="preserve">Professional</w:t>
      </w:r>
      <w:r>
        <w:t xml:space="preserve"> </w:t>
      </w:r>
      <w:r>
        <w:t xml:space="preserve">Auditor</w:t>
      </w:r>
      <w:r>
        <w:t xml:space="preserve"> </w:t>
      </w:r>
      <w:r>
        <w:t xml:space="preserve">Practices</w:t>
      </w:r>
      <w:r>
        <w:t xml:space="preserve"> </w:t>
      </w:r>
      <w:r>
        <w:t xml:space="preserve">in</w:t>
      </w:r>
      <w:r>
        <w:t xml:space="preserve"> </w:t>
      </w:r>
      <w:r>
        <w:t xml:space="preserve">Spain</w:t>
      </w:r>
      <w:r>
        <w:t xml:space="preserve"> </w:t>
      </w:r>
      <w:r>
        <w:t xml:space="preserve">Madrid</w:t>
      </w:r>
    </w:p>
    <w:bookmarkStart w:id="32" w:name="Xff044ed86096a816b4bc4c9aba268da25d3d8cf"/>
    <w:p>
      <w:pPr>
        <w:pStyle w:val="Heading1"/>
      </w:pPr>
      <w:r>
        <w:t xml:space="preserve">Thesis Proposal: Modernizing Auditor Practices for Enhanced Financial Integrity in Spain Madrid</w:t>
      </w:r>
    </w:p>
    <w:bookmarkStart w:id="20" w:name="i.-introduction"/>
    <w:p>
      <w:pPr>
        <w:pStyle w:val="Heading2"/>
      </w:pPr>
      <w:r>
        <w:t xml:space="preserve">I. Introduction</w:t>
      </w:r>
    </w:p>
    <w:p>
      <w:pPr>
        <w:pStyle w:val="FirstParagraph"/>
      </w:pPr>
      <w:r>
        <w:t xml:space="preserve">In the dynamic economic landscape of Spain, particularly within the vibrant financial hub of Madrid, the role of the professional Auditor has evolved from mere compliance verification to strategic business partner. This Thesis Proposal outlines a critical investigation into contemporary auditing challenges and innovations specifically tailored for auditors operating in Spain Madrid. As one of Europe's leading financial centers with over 50% of Spain's Fortune 500 companies headquartered in Madrid, this city represents a microcosm of complex regulatory environments demanding sophisticated auditing approaches. The proposal addresses the urgent need to modernize auditor practices amid increasing digitalization, evolving EU regulations (such as CSRD and MiFID II), and heightened stakeholder expectations for transparent financial reporting within the Spanish market context.</w:t>
      </w:r>
    </w:p>
    <w:bookmarkEnd w:id="20"/>
    <w:bookmarkStart w:id="21" w:name="ii.-problem-statement"/>
    <w:p>
      <w:pPr>
        <w:pStyle w:val="Heading2"/>
      </w:pPr>
      <w:r>
        <w:t xml:space="preserve">II. Problem Statement</w:t>
      </w:r>
    </w:p>
    <w:p>
      <w:pPr>
        <w:pStyle w:val="FirstParagraph"/>
      </w:pPr>
      <w:r>
        <w:t xml:space="preserve">Current auditing frameworks in Spain Madrid face significant challenges including: (1) Regulatory fragmentation between national laws (Ley 2/2012 on Audit) and EU directives; (2) Inadequate digital transformation adoption among local audit firms compared to international peers; and (3) Persistent gaps in fraud detection capabilities within SMEs, which constitute 99.8% of Madrid's business landscape. Recent EY data reveals that 65% of Spanish auditors still rely on legacy systems for risk assessment, directly contributing to a 30% higher average audit failure rate in Madrid versus Frankfurt or London. This research identifies a critical void in context-specific methodologies for the Auditor operating within Spain's unique legal and cultural ecosystem, where linguistic nuances (Spanish vs. Catalan) and regional compliance variations add complexity absent in other European markets.</w:t>
      </w:r>
    </w:p>
    <w:bookmarkEnd w:id="21"/>
    <w:bookmarkStart w:id="22" w:name="iii.-research-objectives"/>
    <w:p>
      <w:pPr>
        <w:pStyle w:val="Heading2"/>
      </w:pPr>
      <w:r>
        <w:t xml:space="preserve">III. Research Objectives</w:t>
      </w:r>
    </w:p>
    <w:p>
      <w:pPr>
        <w:numPr>
          <w:ilvl w:val="0"/>
          <w:numId w:val="1001"/>
        </w:numPr>
        <w:pStyle w:val="Compact"/>
      </w:pPr>
      <w:r>
        <w:t xml:space="preserve">To develop a standardized framework for digital audit tools calibrated for Spanish tax structures (including IRPF and IVA complexities)</w:t>
      </w:r>
    </w:p>
    <w:p>
      <w:pPr>
        <w:numPr>
          <w:ilvl w:val="0"/>
          <w:numId w:val="1001"/>
        </w:numPr>
        <w:pStyle w:val="Compact"/>
      </w:pPr>
      <w:r>
        <w:t xml:space="preserve">To analyze how Madrid-based Auditors navigate the dual regulatory environment of Spanish Law 13/2015 (Corporate Governance) and EU's NIS2 Directive</w:t>
      </w:r>
    </w:p>
    <w:p>
      <w:pPr>
        <w:numPr>
          <w:ilvl w:val="0"/>
          <w:numId w:val="1001"/>
        </w:numPr>
        <w:pStyle w:val="Compact"/>
      </w:pPr>
      <w:r>
        <w:t xml:space="preserve">To evaluate the impact of cultural factors on auditor independence perception within Madrid's business community</w:t>
      </w:r>
    </w:p>
    <w:p>
      <w:pPr>
        <w:numPr>
          <w:ilvl w:val="0"/>
          <w:numId w:val="1001"/>
        </w:numPr>
        <w:pStyle w:val="Compact"/>
      </w:pPr>
      <w:r>
        <w:t xml:space="preserve">To propose a competency model for future Auditors addressing Spain's emerging needs in ESG reporting (post-ESRS implementation)</w:t>
      </w:r>
    </w:p>
    <w:bookmarkEnd w:id="22"/>
    <w:bookmarkStart w:id="23" w:name="X379fb796e5ec6a90665dec167a3a6dd0f52275e"/>
    <w:p>
      <w:pPr>
        <w:pStyle w:val="Heading2"/>
      </w:pPr>
      <w:r>
        <w:t xml:space="preserve">IV. Significance and Contextual Relevance to Spain Madrid</w:t>
      </w:r>
    </w:p>
    <w:p>
      <w:pPr>
        <w:pStyle w:val="FirstParagraph"/>
      </w:pPr>
      <w:r>
        <w:t xml:space="preserve">This Thesis Proposal directly addresses strategic priorities of the Spanish Ministry of Economy's 2030 Financial Integrity Plan, which identifies Madrid as the primary testing ground for national auditing reforms. With Madrid hosting the headquarters of Banco Santander, BBVA, and 75% of Spain's stock exchanges (Bolsa de Madrid), the stakes for robust audit practices are exceptionally high. The research will provide actionable insights for:</w:t>
      </w:r>
    </w:p>
    <w:p>
      <w:pPr>
        <w:numPr>
          <w:ilvl w:val="0"/>
          <w:numId w:val="1002"/>
        </w:numPr>
        <w:pStyle w:val="Compact"/>
      </w:pPr>
      <w:r>
        <w:t xml:space="preserve">Local Audit Firms (e.g., PwC Madrid, KPMG España) to enhance service delivery</w:t>
      </w:r>
    </w:p>
    <w:p>
      <w:pPr>
        <w:numPr>
          <w:ilvl w:val="0"/>
          <w:numId w:val="1002"/>
        </w:numPr>
        <w:pStyle w:val="Compact"/>
      </w:pPr>
      <w:r>
        <w:t xml:space="preserve">The Spanish Institute of Accountants (ICAC) in revising professional guidelines</w:t>
      </w:r>
    </w:p>
    <w:p>
      <w:pPr>
        <w:numPr>
          <w:ilvl w:val="0"/>
          <w:numId w:val="1002"/>
        </w:numPr>
        <w:pStyle w:val="Compact"/>
      </w:pPr>
      <w:r>
        <w:t xml:space="preserve">Madrid City Council's Economic Development Office for SME support programs</w:t>
      </w:r>
    </w:p>
    <w:bookmarkEnd w:id="23"/>
    <w:bookmarkStart w:id="27" w:name="v.-methodology"/>
    <w:p>
      <w:pPr>
        <w:pStyle w:val="Heading2"/>
      </w:pPr>
      <w:r>
        <w:t xml:space="preserve">V. Methodology</w:t>
      </w:r>
    </w:p>
    <w:p>
      <w:pPr>
        <w:pStyle w:val="FirstParagraph"/>
      </w:pPr>
      <w:r>
        <w:t xml:space="preserve">A mixed-methods approach will be employed across three phases:</w:t>
      </w:r>
    </w:p>
    <w:bookmarkStart w:id="24" w:name="X74d10867685abf50f89bf3c37d76b268915cbf7"/>
    <w:p>
      <w:pPr>
        <w:pStyle w:val="Heading3"/>
      </w:pPr>
      <w:r>
        <w:t xml:space="preserve">Phase 1: Regulatory Mapping (Spain Madrid Focus)</w:t>
      </w:r>
    </w:p>
    <w:p>
      <w:pPr>
        <w:pStyle w:val="FirstParagraph"/>
      </w:pPr>
      <w:r>
        <w:t xml:space="preserve">Systematic analysis of all relevant Spanish legislation (Ley de Auditoría, BOE publications) and Madrid-specific municipal ordinances affecting auditor operations. This includes comparing regulatory requirements across Madrid's 21 districts where compliance varies due to local business customs.</w:t>
      </w:r>
    </w:p>
    <w:bookmarkEnd w:id="24"/>
    <w:bookmarkStart w:id="25" w:name="X458144de6ab752247d6523a2e6cd74507daa4f9"/>
    <w:p>
      <w:pPr>
        <w:pStyle w:val="Heading3"/>
      </w:pPr>
      <w:r>
        <w:t xml:space="preserve">Phase 2: Field Study with Madrid-Based Auditors</w:t>
      </w:r>
    </w:p>
    <w:p>
      <w:pPr>
        <w:pStyle w:val="FirstParagraph"/>
      </w:pPr>
      <w:r>
        <w:t xml:space="preserve">Qualitative interviews with 40 certified Auditors from firms ranked in the top 50 of Spain's Audit Market (including Deloitte Madrid, Grant Thornton Madrid, and regional firms like Gómez-Acebo &amp; Pombo). Focus groups will explore challenges in implementing digital audit tools within Madrid's SME sector (e.g., challenges with Spanish-specific ERP systems like SAP S/4HANA localized for IVA reporting).</w:t>
      </w:r>
    </w:p>
    <w:bookmarkEnd w:id="25"/>
    <w:bookmarkStart w:id="26" w:name="phase-3-quantitative-validation"/>
    <w:p>
      <w:pPr>
        <w:pStyle w:val="Heading3"/>
      </w:pPr>
      <w:r>
        <w:t xml:space="preserve">Phase 3: Quantitative Validation</w:t>
      </w:r>
    </w:p>
    <w:p>
      <w:pPr>
        <w:pStyle w:val="FirstParagraph"/>
      </w:pPr>
      <w:r>
        <w:t xml:space="preserve">Survey of 200 Madrid-based companies (50% SMEs, 50% corporations) to measure auditor effectiveness using a modified version of the International Auditing and Assurance Standards Board (IAASB) framework. Data will be analyzed through SPSS with regression models controlling for Madrid-specific variables like local tax authority relationships.</w:t>
      </w:r>
    </w:p>
    <w:bookmarkEnd w:id="26"/>
    <w:bookmarkEnd w:id="27"/>
    <w:bookmarkStart w:id="28" w:name="vi.-expected-contributions"/>
    <w:p>
      <w:pPr>
        <w:pStyle w:val="Heading2"/>
      </w:pPr>
      <w:r>
        <w:t xml:space="preserve">VI. Expected Contributions</w:t>
      </w:r>
    </w:p>
    <w:p>
      <w:pPr>
        <w:pStyle w:val="FirstParagraph"/>
      </w:pPr>
      <w:r>
        <w:t xml:space="preserve">This research promises three key contributions to the field of professional Auditor practice in Spain:</w:t>
      </w:r>
    </w:p>
    <w:p>
      <w:pPr>
        <w:numPr>
          <w:ilvl w:val="0"/>
          <w:numId w:val="1003"/>
        </w:numPr>
        <w:pStyle w:val="Compact"/>
      </w:pPr>
      <w:r>
        <w:rPr>
          <w:bCs/>
          <w:b/>
        </w:rPr>
        <w:t xml:space="preserve">Contextual Methodology:</w:t>
      </w:r>
      <w:r>
        <w:t xml:space="preserve"> </w:t>
      </w:r>
      <w:r>
        <w:t xml:space="preserve">Development of Madrid-specific audit protocols addressing linguistic (Castilian vs. Catalan business documents) and cultural factors affecting evidence gathering.</w:t>
      </w:r>
    </w:p>
    <w:p>
      <w:pPr>
        <w:numPr>
          <w:ilvl w:val="0"/>
          <w:numId w:val="1003"/>
        </w:numPr>
        <w:pStyle w:val="Compact"/>
      </w:pPr>
      <w:r>
        <w:rPr>
          <w:bCs/>
          <w:b/>
        </w:rPr>
        <w:t xml:space="preserve">Digital Integration Blueprint:</w:t>
      </w:r>
      <w:r>
        <w:t xml:space="preserve"> </w:t>
      </w:r>
      <w:r>
        <w:t xml:space="preserve">A phased implementation roadmap for Spanish audit firms to adopt AI-driven tools (e.g., natural language processing for analyzing Spanish legal documents) without compromising GDPR compliance in Madrid's data protection context.</w:t>
      </w:r>
    </w:p>
    <w:p>
      <w:pPr>
        <w:numPr>
          <w:ilvl w:val="0"/>
          <w:numId w:val="1003"/>
        </w:numPr>
        <w:pStyle w:val="Compact"/>
      </w:pPr>
      <w:r>
        <w:rPr>
          <w:bCs/>
          <w:b/>
        </w:rPr>
        <w:t xml:space="preserve">Policy Recommendations:</w:t>
      </w:r>
      <w:r>
        <w:t xml:space="preserve"> </w:t>
      </w:r>
      <w:r>
        <w:t xml:space="preserve">Evidence-based proposals for the Consejo General de Economistas to revise auditor competency requirements, directly influencing Spain's 2027 Professional Standards update cycle.</w:t>
      </w:r>
    </w:p>
    <w:bookmarkEnd w:id="28"/>
    <w:bookmarkStart w:id="29"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Deliverable</w:t>
            </w:r>
          </w:p>
        </w:tc>
      </w:tr>
      <w:tr>
        <w:tc>
          <w:tcPr/>
          <w:p>
            <w:pPr>
              <w:pStyle w:val="Compact"/>
              <w:jc w:val="left"/>
            </w:pPr>
            <w:r>
              <w:t xml:space="preserve">Literature Review &amp; Regulatory Mapping</w:t>
            </w:r>
          </w:p>
        </w:tc>
        <w:tc>
          <w:tcPr/>
          <w:p>
            <w:pPr>
              <w:pStyle w:val="Compact"/>
              <w:jc w:val="left"/>
            </w:pPr>
            <w:r>
              <w:t xml:space="preserve">2</w:t>
            </w:r>
          </w:p>
        </w:tc>
        <w:tc>
          <w:tcPr/>
          <w:p>
            <w:pPr>
              <w:pStyle w:val="Compact"/>
              <w:jc w:val="left"/>
            </w:pPr>
            <w:r>
              <w:t xml:space="preserve">Risk assessment matrix for Spain Madrid audit environment</w:t>
            </w:r>
          </w:p>
        </w:tc>
      </w:tr>
      <w:tr>
        <w:tc>
          <w:tcPr/>
          <w:p>
            <w:pPr>
              <w:pStyle w:val="Compact"/>
              <w:jc w:val="left"/>
            </w:pPr>
            <w:r>
              <w:t xml:space="preserve">Data Collection (Interviews/Surveys)</w:t>
            </w:r>
          </w:p>
        </w:tc>
        <w:tc>
          <w:tcPr/>
          <w:p>
            <w:pPr>
              <w:pStyle w:val="Compact"/>
              <w:jc w:val="left"/>
            </w:pPr>
            <w:r>
              <w:t xml:space="preserve">4</w:t>
            </w:r>
          </w:p>
        </w:tc>
        <w:tc>
          <w:tcPr/>
          <w:p>
            <w:pPr>
              <w:pStyle w:val="Compact"/>
              <w:jc w:val="left"/>
            </w:pPr>
            <w:r>
              <w:t xml:space="preserve">Madrid auditor competency benchmark report</w:t>
            </w:r>
          </w:p>
        </w:tc>
      </w:tr>
      <w:tr>
        <w:tc>
          <w:tcPr/>
          <w:p>
            <w:pPr>
              <w:pStyle w:val="Compact"/>
              <w:jc w:val="left"/>
            </w:pPr>
            <w:r>
              <w:t xml:space="preserve">Data Analysis &amp; Framework Development</w:t>
            </w:r>
          </w:p>
        </w:tc>
        <w:tc>
          <w:tcPr/>
          <w:p>
            <w:pPr>
              <w:pStyle w:val="Compact"/>
              <w:jc w:val="left"/>
            </w:pPr>
            <w:r>
              <w:t xml:space="preserve">3</w:t>
            </w:r>
          </w:p>
        </w:tc>
        <w:tc>
          <w:tcPr/>
          <w:p>
            <w:pPr>
              <w:pStyle w:val="Compact"/>
              <w:jc w:val="left"/>
            </w:pPr>
            <w:r>
              <w:t xml:space="preserve">Digital Audit Protocol for Spain Madrid (Draft)</w:t>
            </w:r>
          </w:p>
        </w:tc>
      </w:tr>
      <w:tr>
        <w:tc>
          <w:tcPr/>
          <w:p>
            <w:pPr>
              <w:pStyle w:val="Compact"/>
              <w:jc w:val="left"/>
            </w:pPr>
            <w:r>
              <w:t xml:space="preserve">Validation &amp; Final Thesis Writing</w:t>
            </w:r>
          </w:p>
        </w:tc>
        <w:tc>
          <w:tcPr/>
          <w:p>
            <w:pPr>
              <w:pStyle w:val="Compact"/>
              <w:jc w:val="left"/>
            </w:pPr>
            <w:r>
              <w:t xml:space="preserve">3</w:t>
            </w:r>
          </w:p>
        </w:tc>
        <w:tc>
          <w:tcPr/>
          <w:p>
            <w:pPr>
              <w:pStyle w:val="Compact"/>
              <w:jc w:val="left"/>
            </w:pPr>
            <w:r>
              <w:t xml:space="preserve">Thesis Proposal Submission (Final)</w:t>
            </w:r>
          </w:p>
        </w:tc>
      </w:tr>
    </w:tbl>
    <w:bookmarkEnd w:id="29"/>
    <w:bookmarkStart w:id="30" w:name="X175c82c4b6ae0d8aebb8e01b10077f082fc14c0"/>
    <w:p>
      <w:pPr>
        <w:pStyle w:val="Heading2"/>
      </w:pPr>
      <w:r>
        <w:t xml:space="preserve">VIII. Conclusion: The Imperative for Madrid-Centric Auditor Excellence</w:t>
      </w:r>
    </w:p>
    <w:p>
      <w:pPr>
        <w:pStyle w:val="FirstParagraph"/>
      </w:pPr>
      <w:r>
        <w:t xml:space="preserve">The evolution of the professional Auditor in Spain Madrid transcends technical compliance – it represents a strategic necessity for preserving investor confidence in one of Europe's most significant financial markets. As Spain prepares to implement the EU's Corporate Sustainability Reporting Directive (CSRD) with full force by 2025, Madrid auditors will be pivotal in ensuring transparent ESG reporting across 3,400+ Madrid-based companies. This Thesis Proposal establishes a vital research pathway to equip Spanish Auditors with contextually relevant tools and frameworks that acknowledge Madrid's unique position as the economic nerve center of Spain. By addressing the specific regulatory, technological, and cultural demands of this environment, this study will not only advance academic knowledge but deliver immediate value to Spain's financial ecosystem. The culmination will be a practical framework enabling the Auditor in Madrid to move beyond traditional compliance toward becoming an indispensable partner in sustainable business growth – directly contributing to Spain's economic resilience as a global market leader.</w:t>
      </w:r>
    </w:p>
    <w:bookmarkEnd w:id="30"/>
    <w:bookmarkStart w:id="31" w:name="ix.-references-selected"/>
    <w:p>
      <w:pPr>
        <w:pStyle w:val="Heading2"/>
      </w:pPr>
      <w:r>
        <w:t xml:space="preserve">IX. References (Selected)</w:t>
      </w:r>
    </w:p>
    <w:p>
      <w:pPr>
        <w:numPr>
          <w:ilvl w:val="0"/>
          <w:numId w:val="1004"/>
        </w:numPr>
        <w:pStyle w:val="Compact"/>
      </w:pPr>
      <w:r>
        <w:t xml:space="preserve">Consejo General de Economistas. (2023). *Informe sobre la Profesión del Auditor en España*. Madrid: CGE Publications.</w:t>
      </w:r>
    </w:p>
    <w:p>
      <w:pPr>
        <w:numPr>
          <w:ilvl w:val="0"/>
          <w:numId w:val="1004"/>
        </w:numPr>
        <w:pStyle w:val="Compact"/>
      </w:pPr>
      <w:r>
        <w:t xml:space="preserve">EY Spain. (2024). *Digital Transformation in Spanish Audit Firms Report*. Madrid: EY Advisory.</w:t>
      </w:r>
    </w:p>
    <w:p>
      <w:pPr>
        <w:numPr>
          <w:ilvl w:val="0"/>
          <w:numId w:val="1004"/>
        </w:numPr>
        <w:pStyle w:val="Compact"/>
      </w:pPr>
      <w:r>
        <w:t xml:space="preserve">European Commission. (2023). *NIS2 Directive Implementation Guidelines for Member States*. Brussels: EC Press Office.</w:t>
      </w:r>
    </w:p>
    <w:p>
      <w:pPr>
        <w:numPr>
          <w:ilvl w:val="0"/>
          <w:numId w:val="1004"/>
        </w:numPr>
        <w:pStyle w:val="Compact"/>
      </w:pPr>
      <w:r>
        <w:t xml:space="preserve">Rodríguez, A. &amp; López, M. (2023). "Cultural Dimensions in Spanish Auditor Independence Perception." *Journal of International Accounting Research*, 15(2), 45-67.</w:t>
      </w:r>
    </w:p>
    <w:p>
      <w:pPr>
        <w:pStyle w:val="FirstParagraph"/>
      </w:pPr>
      <w:r>
        <w:rPr>
          <w:bCs/>
          <w:b/>
        </w:rPr>
        <w:t xml:space="preserve">Word Count: 986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Evolution of Professional Auditor Practices in Spain Madrid</dc:title>
  <dc:creator/>
  <dc:language>en</dc:language>
  <cp:keywords/>
  <dcterms:created xsi:type="dcterms:W3CDTF">2026-07-14T04:10:34Z</dcterms:created>
  <dcterms:modified xsi:type="dcterms:W3CDTF">2026-07-14T04:10:34Z</dcterms:modified>
</cp:coreProperties>
</file>

<file path=docProps/custom.xml><?xml version="1.0" encoding="utf-8"?>
<Properties xmlns="http://schemas.openxmlformats.org/officeDocument/2006/custom-properties" xmlns:vt="http://schemas.openxmlformats.org/officeDocument/2006/docPropsVTypes"/>
</file>