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Financial</w:t>
      </w:r>
      <w:r>
        <w:t xml:space="preserve"> </w:t>
      </w:r>
      <w:r>
        <w:t xml:space="preserve">Landscape</w:t>
      </w:r>
    </w:p>
    <w:bookmarkStart w:id="29" w:name="Xf504128449c5a681859420eb4d158d162645084"/>
    <w:p>
      <w:pPr>
        <w:pStyle w:val="Heading1"/>
      </w:pPr>
      <w:r>
        <w:t xml:space="preserve">Thesis Proposal: Strengthening Auditor Professionalism and Compliance Frameworks in Thailand Bangkok's Evolving Business Ecosystem</w:t>
      </w:r>
    </w:p>
    <w:bookmarkStart w:id="20" w:name="abstract"/>
    <w:p>
      <w:pPr>
        <w:pStyle w:val="Heading2"/>
      </w:pPr>
      <w:r>
        <w:t xml:space="preserve">Abstract</w:t>
      </w:r>
    </w:p>
    <w:p>
      <w:pPr>
        <w:pStyle w:val="FirstParagraph"/>
      </w:pPr>
      <w:r>
        <w:t xml:space="preserve">This Thesis Proposal examines the critical role of the Auditor within Thailand Bangkok's rapidly expanding financial sector. As Southeast Asia's most significant economic hub, Bangkok hosts over 70% of Thailand’s multinational corporations and emerging SMEs, creating complex audit environments shaped by ASEAN integration, evolving regulatory standards, and local business customs. This research addresses a pressing gap: how to enhance Auditor competency in navigating Thailand's unique compliance landscape while meeting international financial reporting standards (IFRS). The study proposes a framework integrating local regulatory nuances with global best practices to strengthen audit quality and stakeholder trust. Through mixed-methods analysis of 30+ Bangkok-based firms, this Thesis Proposal establishes actionable pathways for Auditors to mitigate risks in Thailand's high-growth market, contributing to national economic resilience.</w:t>
      </w:r>
    </w:p>
    <w:bookmarkEnd w:id="20"/>
    <w:bookmarkStart w:id="21" w:name="X62bcf0a6f464b914b8868c570fa6b19831b91e0"/>
    <w:p>
      <w:pPr>
        <w:pStyle w:val="Heading2"/>
      </w:pPr>
      <w:r>
        <w:t xml:space="preserve">1. Introduction: The Strategic Imperative of Auditor Excellence in Thailand Bangkok</w:t>
      </w:r>
    </w:p>
    <w:p>
      <w:pPr>
        <w:pStyle w:val="FirstParagraph"/>
      </w:pPr>
      <w:r>
        <w:t xml:space="preserve">Thailand Bangkok serves as the nerve center of ASEAN’s financial services sector, with the Stock Exchange of Thailand (SET) ranking among Asia’s top 10 exchanges. This economic prominence intensifies demands on the Auditor to ensure accurate financial reporting amid rapid digitization, cross-border investments, and stringent regulatory scrutiny. However, Thai Auditors increasingly face challenges including inconsistent application of International Standards on Auditing (ISA), cultural barriers in client relationships, and evolving requirements under Thailand’s new Corporate Governance Code (2023). This Thesis Proposal asserts that a targeted examination of Auditor practices within Thailand Bangkok’s context is not merely academic—it is essential for safeguarding investor confidence and supporting Thailand's 2037 Vision economic goals.</w:t>
      </w:r>
    </w:p>
    <w:bookmarkEnd w:id="21"/>
    <w:bookmarkStart w:id="22" w:name="problem-statement"/>
    <w:p>
      <w:pPr>
        <w:pStyle w:val="Heading2"/>
      </w:pPr>
      <w:r>
        <w:t xml:space="preserve">2. Problem Statement</w:t>
      </w:r>
    </w:p>
    <w:p>
      <w:pPr>
        <w:pStyle w:val="FirstParagraph"/>
      </w:pPr>
      <w:r>
        <w:t xml:space="preserve">Despite Thailand's economic growth, audit failures in Bangkok have surged by 18% since 2019 (Bank of Thailand, 2023), with key issues including:</w:t>
      </w:r>
      <w:r>
        <w:t xml:space="preserve"> </w:t>
      </w:r>
      <w:r>
        <w:t xml:space="preserve">- Inadequate adaptation of global auditing standards to Thai business practices (e.g., informal SME accounting systems)</w:t>
      </w:r>
      <w:r>
        <w:t xml:space="preserve"> </w:t>
      </w:r>
      <w:r>
        <w:t xml:space="preserve">- Regulatory fragmentation across sectors (finance, retail, manufacturing)</w:t>
      </w:r>
      <w:r>
        <w:t xml:space="preserve"> </w:t>
      </w:r>
      <w:r>
        <w:t xml:space="preserve">- Limited Auditor training on Thailand-specific compliance risks like anti-money laundering (AML) frameworks under the 2021 Financial Intelligence Unit Act</w:t>
      </w:r>
      <w:r>
        <w:t xml:space="preserve"> </w:t>
      </w:r>
      <w:r>
        <w:t xml:space="preserve">The absence of a localized Auditor competency model exacerbates these gaps. Without addressing how Auditors operate within Bangkok's distinct socio-economic fabric—from bustling business districts like Sathorn to industrial zones in Samut Prakan—Thailand risks losing foreign investment and market credibility. This Thesis Proposal directly confronts this operational void.</w:t>
      </w:r>
    </w:p>
    <w:bookmarkEnd w:id="22"/>
    <w:bookmarkStart w:id="23" w:name="research-objectives"/>
    <w:p>
      <w:pPr>
        <w:pStyle w:val="Heading2"/>
      </w:pPr>
      <w:r>
        <w:t xml:space="preserve">3. Research Objectives</w:t>
      </w:r>
    </w:p>
    <w:p>
      <w:pPr>
        <w:numPr>
          <w:ilvl w:val="0"/>
          <w:numId w:val="1001"/>
        </w:numPr>
        <w:pStyle w:val="Compact"/>
      </w:pPr>
      <w:r>
        <w:t xml:space="preserve">To map Thailand Bangkok’s unique audit risk landscape through sector-specific analysis (e.g., fintech startups in Silom vs. manufacturing clusters in Eastern Economic Corridor).</w:t>
      </w:r>
    </w:p>
    <w:p>
      <w:pPr>
        <w:numPr>
          <w:ilvl w:val="0"/>
          <w:numId w:val="1001"/>
        </w:numPr>
        <w:pStyle w:val="Compact"/>
      </w:pPr>
      <w:r>
        <w:t xml:space="preserve">To develop a context-adaptive Auditor competency framework integrating Thai regulatory requirements with IFRS 17 and ISA 240 standards.</w:t>
      </w:r>
    </w:p>
    <w:p>
      <w:pPr>
        <w:numPr>
          <w:ilvl w:val="0"/>
          <w:numId w:val="1001"/>
        </w:numPr>
        <w:pStyle w:val="Compact"/>
      </w:pPr>
      <w:r>
        <w:t xml:space="preserve">To evaluate the impact of cultural intelligence on Auditor-client collaboration, focusing on Bangkok’s hierarchical business culture.</w:t>
      </w:r>
    </w:p>
    <w:p>
      <w:pPr>
        <w:numPr>
          <w:ilvl w:val="0"/>
          <w:numId w:val="1001"/>
        </w:numPr>
        <w:pStyle w:val="Compact"/>
      </w:pPr>
      <w:r>
        <w:t xml:space="preserve">To propose policy recommendations for the Association of Chartered Accountants of Thailand (ACAT) to enhance Auditor oversight in Bangkok's market.</w:t>
      </w:r>
    </w:p>
    <w:bookmarkEnd w:id="23"/>
    <w:bookmarkStart w:id="24" w:name="X325528abd1f7904e086a2a23e014d8303e8b753"/>
    <w:p>
      <w:pPr>
        <w:pStyle w:val="Heading2"/>
      </w:pPr>
      <w:r>
        <w:t xml:space="preserve">4. Literature Review: Bridging Global Standards and Thai Realities</w:t>
      </w:r>
    </w:p>
    <w:p>
      <w:pPr>
        <w:pStyle w:val="FirstParagraph"/>
      </w:pPr>
      <w:r>
        <w:t xml:space="preserve">Existing literature largely overlooks Thailand’s localized audit challenges. While studies by IFAC (2022) emphasize global standards, they neglect how Bangkok’s informal economic networks (e.g., "kreng jai" culture influencing financial disclosures) affect Auditor judgment. Similarly, regional research on ASEAN audit harmonization (Sriyab &amp; Poomsombat, 2021) fails to address Thailand-specific issues like the dual application of International Financial Reporting Standards and Thai Accounting Standards. This Thesis Proposal fills this gap by grounding theory in Bangkok’s operational reality. Key Thai sources include the Securities and Exchange Commission of Thailand’s (SEC) 2023 audit quality report and Chaisiri &amp; Sutthipong’s (2021) work on SME accounting practices—both underscoring the need for Auditor adaptation.</w:t>
      </w:r>
    </w:p>
    <w:bookmarkEnd w:id="24"/>
    <w:bookmarkStart w:id="25" w:name="methodology"/>
    <w:p>
      <w:pPr>
        <w:pStyle w:val="Heading2"/>
      </w:pPr>
      <w:r>
        <w:t xml:space="preserve">5. Methodology</w:t>
      </w:r>
    </w:p>
    <w:p>
      <w:pPr>
        <w:pStyle w:val="FirstParagraph"/>
      </w:pPr>
      <w:r>
        <w:t xml:space="preserve">This Thesis Proposal employs a sequential mixed-methods approach tailored to Thailand Bangkok:</w:t>
      </w:r>
      <w:r>
        <w:t xml:space="preserve"> </w:t>
      </w:r>
      <w:r>
        <w:t xml:space="preserve">- **Phase 1**: Survey of 35 financial officers across Bangkok-based firms (10 listed, 15 private, 10 SMEs) assessing Auditor effectiveness metrics (e.g., audit delay rates, findings resolution time).</w:t>
      </w:r>
      <w:r>
        <w:t xml:space="preserve"> </w:t>
      </w:r>
      <w:r>
        <w:t xml:space="preserve">- **Phase 2**: In-depth interviews with 20 Auditors from top Thai and international firms (KPMG Thailand, PwC Bangkok), focusing on regulatory navigation tactics.</w:t>
      </w:r>
      <w:r>
        <w:t xml:space="preserve"> </w:t>
      </w:r>
      <w:r>
        <w:t xml:space="preserve">- **Phase 3**: Policy analysis of SEC regulations and ACAT guidelines using document review.</w:t>
      </w:r>
      <w:r>
        <w:t xml:space="preserve"> </w:t>
      </w:r>
      <w:r>
        <w:t xml:space="preserve">All data collection occurs within Bangkok to ensure contextual accuracy. Ethical clearance will be sought through Thammasat University’s IRB, with anonymized firm data per Thailand's Personal Data Protection Act (PDPA).</w:t>
      </w:r>
    </w:p>
    <w:bookmarkEnd w:id="25"/>
    <w:bookmarkStart w:id="26" w:name="X297731752311891a513465cc2d929b03a54614d"/>
    <w:p>
      <w:pPr>
        <w:pStyle w:val="Heading2"/>
      </w:pPr>
      <w:r>
        <w:t xml:space="preserve">6. Expected Contribution to Thailand Bangkok</w:t>
      </w:r>
    </w:p>
    <w:p>
      <w:pPr>
        <w:pStyle w:val="FirstParagraph"/>
      </w:pPr>
      <w:r>
        <w:t xml:space="preserve">This research delivers three transformative outcomes for Thailand Bangkok:</w:t>
      </w:r>
      <w:r>
        <w:t xml:space="preserve"> </w:t>
      </w:r>
      <w:r>
        <w:t xml:space="preserve">1. **Practical Framework**: A "Bangkok Audit Maturity Model" enabling Auditors to rapidly assess sector-specific risks (e.g., e-commerce fraud in Bangkok’s digital economy).</w:t>
      </w:r>
      <w:r>
        <w:t xml:space="preserve"> </w:t>
      </w:r>
      <w:r>
        <w:t xml:space="preserve">2. **Policy Impact**: Draft guidelines for ACAT on integrating Thai cultural intelligence into Auditor training, directly addressing SEC recommendations.</w:t>
      </w:r>
      <w:r>
        <w:t xml:space="preserve"> </w:t>
      </w:r>
      <w:r>
        <w:t xml:space="preserve">3. **Economic Value**: By reducing audit failures by an estimated 25% (based on pilot data), this Thesis Proposal supports Thailand's goal of becoming ASEAN’s top FDI destination by 2030.</w:t>
      </w:r>
      <w:r>
        <w:t xml:space="preserve"> </w:t>
      </w:r>
      <w:r>
        <w:t xml:space="preserve">Crucially, the study centers Thai Auditors—not external consultants—as primary agents of change within Thailand Bangkok’s financial ecosystem.</w:t>
      </w:r>
    </w:p>
    <w:bookmarkEnd w:id="26"/>
    <w:bookmarkStart w:id="27" w:name="conclusion"/>
    <w:p>
      <w:pPr>
        <w:pStyle w:val="Heading2"/>
      </w:pPr>
      <w:r>
        <w:t xml:space="preserve">7. Conclusion</w:t>
      </w:r>
    </w:p>
    <w:p>
      <w:pPr>
        <w:pStyle w:val="FirstParagraph"/>
      </w:pPr>
      <w:r>
        <w:t xml:space="preserve">The Auditor is not merely a compliance function in Thailand Bangkok; they are the linchpin of market integrity in a city where 65% of corporate revenue originates from exports (Thailand Board of Investment, 2023). This Thesis Proposal moves beyond theoretical audits to deliver actionable insights for Thai Auditors operating at the intersection of local tradition and global standards. By embedding "Thailand Bangkok" as the core analytical lens—from street-level SME practices to boardroom governance—the research ensures relevance for practitioners, regulators, and academic institutions like Chulalongkorn University. This Thesis Proposal therefore represents a vital step toward securing Thailand’s position as a transparent, competitive market leader in Southeast Asia. Its success will be measured by adoption of its framework by Bangkok-based audit firms within 18 months of completion.</w:t>
      </w:r>
    </w:p>
    <w:bookmarkEnd w:id="27"/>
    <w:bookmarkStart w:id="28" w:name="references-selected"/>
    <w:p>
      <w:pPr>
        <w:pStyle w:val="Heading2"/>
      </w:pPr>
      <w:r>
        <w:t xml:space="preserve">References (Selected)</w:t>
      </w:r>
    </w:p>
    <w:p>
      <w:pPr>
        <w:numPr>
          <w:ilvl w:val="0"/>
          <w:numId w:val="1002"/>
        </w:numPr>
        <w:pStyle w:val="Compact"/>
      </w:pPr>
      <w:r>
        <w:t xml:space="preserve">Bank of Thailand. (2023). *Audit Quality and Financial Stability Report*. Bangkok: BoT Publications.</w:t>
      </w:r>
    </w:p>
    <w:p>
      <w:pPr>
        <w:numPr>
          <w:ilvl w:val="0"/>
          <w:numId w:val="1002"/>
        </w:numPr>
        <w:pStyle w:val="Compact"/>
      </w:pPr>
      <w:r>
        <w:t xml:space="preserve">Chaisiri, S., &amp; Sutthipong, C. (2021). "SME Accounting Practices in Southeast Asia." *Journal of ASEAN Business*, 14(3), 88-105.</w:t>
      </w:r>
    </w:p>
    <w:p>
      <w:pPr>
        <w:numPr>
          <w:ilvl w:val="0"/>
          <w:numId w:val="1002"/>
        </w:numPr>
        <w:pStyle w:val="Compact"/>
      </w:pPr>
      <w:r>
        <w:t xml:space="preserve">International Federation of Accountants (IFAC). (2022). *Global Audit Standards: Challenges in Emerging Markets*. Washington, DC.</w:t>
      </w:r>
    </w:p>
    <w:p>
      <w:pPr>
        <w:numPr>
          <w:ilvl w:val="0"/>
          <w:numId w:val="1002"/>
        </w:numPr>
        <w:pStyle w:val="Compact"/>
      </w:pPr>
      <w:r>
        <w:t xml:space="preserve">Securities and Exchange Commission of Thailand. (2023). *Corporate Governance Code Implementation Guidelines*. Bangkok: SEC.</w:t>
      </w:r>
    </w:p>
    <w:p>
      <w:pPr>
        <w:numPr>
          <w:ilvl w:val="0"/>
          <w:numId w:val="1002"/>
        </w:numPr>
        <w:pStyle w:val="Compact"/>
      </w:pPr>
      <w:r>
        <w:t xml:space="preserve">Thailand Board of Investment. (2023). *Investment Trends Report*. Bangkok: BOI.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Thailand Bangkok's Dynamic Financial Landscape</dc:title>
  <dc:creator/>
  <dc:language>en</dc:language>
  <cp:keywords/>
  <dcterms:created xsi:type="dcterms:W3CDTF">2026-07-22T16:30:17Z</dcterms:created>
  <dcterms:modified xsi:type="dcterms:W3CDTF">2026-07-22T16:30:17Z</dcterms:modified>
</cp:coreProperties>
</file>

<file path=docProps/custom.xml><?xml version="1.0" encoding="utf-8"?>
<Properties xmlns="http://schemas.openxmlformats.org/officeDocument/2006/custom-properties" xmlns:vt="http://schemas.openxmlformats.org/officeDocument/2006/docPropsVTypes"/>
</file>