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Turkey</w:t>
      </w:r>
      <w:r>
        <w:t xml:space="preserve"> </w:t>
      </w:r>
      <w:r>
        <w:t xml:space="preserve">Ankara's</w:t>
      </w:r>
      <w:r>
        <w:t xml:space="preserve"> </w:t>
      </w:r>
      <w:r>
        <w:t xml:space="preserve">Regulatory</w:t>
      </w:r>
      <w:r>
        <w:t xml:space="preserve"> </w:t>
      </w:r>
      <w:r>
        <w:t xml:space="preserve">Landscape</w:t>
      </w:r>
    </w:p>
    <w:bookmarkStart w:id="26" w:name="Xeb4085ee9a7fcf84f2e0816cf14cb1c6922930e"/>
    <w:p>
      <w:pPr>
        <w:pStyle w:val="Heading1"/>
      </w:pPr>
      <w:r>
        <w:t xml:space="preserve">Thesis Proposal: Evaluating the Evolving Role and Challenges of External Auditors within the Public Sector Accounting Framework in Turkey Ankara</w:t>
      </w:r>
    </w:p>
    <w:bookmarkStart w:id="20" w:name="Xe19c599a920afa4ec4037baeacae74e95957032"/>
    <w:p>
      <w:pPr>
        <w:pStyle w:val="Heading2"/>
      </w:pPr>
      <w:r>
        <w:t xml:space="preserve">I. Introduction and Contextual Significance</w:t>
      </w:r>
    </w:p>
    <w:p>
      <w:pPr>
        <w:pStyle w:val="FirstParagraph"/>
      </w:pPr>
      <w:r>
        <w:t xml:space="preserve">The profession of the</w:t>
      </w:r>
      <w:r>
        <w:t xml:space="preserve"> </w:t>
      </w:r>
      <w:r>
        <w:rPr>
          <w:bCs/>
          <w:b/>
        </w:rPr>
        <w:t xml:space="preserve">Auditor</w:t>
      </w:r>
      <w:r>
        <w:t xml:space="preserve"> </w:t>
      </w:r>
      <w:r>
        <w:t xml:space="preserve">stands as a cornerstone of financial transparency, accountability, and trust within any modern economy. In Turkey, this role is particularly critical given the nation's ongoing economic reforms, integration with international standards, and the significant influence of public sector financial management. The capital city of Ankara serves as the epicenter for Turkey's central government operations, hosting key institutions including the Ministry of Treasury and Finance (MoTF), the Supreme Audit Institution (Court of Accounts - Danıştay), major state-owned enterprises (SOEs), and numerous public universities. This confluence creates a unique and demanding environment where the effectiveness of</w:t>
      </w:r>
      <w:r>
        <w:t xml:space="preserve"> </w:t>
      </w:r>
      <w:r>
        <w:rPr>
          <w:bCs/>
          <w:b/>
        </w:rPr>
        <w:t xml:space="preserve">Auditor</w:t>
      </w:r>
      <w:r>
        <w:t xml:space="preserve"> </w:t>
      </w:r>
      <w:r>
        <w:t xml:space="preserve">services directly impacts national fiscal health, public resource allocation, and Turkey's credibility in international financial circles. This</w:t>
      </w:r>
      <w:r>
        <w:t xml:space="preserve"> </w:t>
      </w:r>
      <w:r>
        <w:rPr>
          <w:bCs/>
          <w:b/>
        </w:rPr>
        <w:t xml:space="preserve">Thesis Proposal</w:t>
      </w:r>
      <w:r>
        <w:t xml:space="preserve"> </w:t>
      </w:r>
      <w:r>
        <w:t xml:space="preserve">therefore focuses explicitly on the operational realities, regulatory pressures, and professional development needs of auditors working within this specific Ankara-centric ecosystem.</w:t>
      </w:r>
    </w:p>
    <w:bookmarkEnd w:id="20"/>
    <w:bookmarkStart w:id="21" w:name="Xe2151d9f1fcbe13a8301b682b92fc3fc212b3ab"/>
    <w:p>
      <w:pPr>
        <w:pStyle w:val="Heading2"/>
      </w:pPr>
      <w:r>
        <w:t xml:space="preserve">II. Problem Statement: The Critical Gap in Ankara-Specific Auditor Research</w:t>
      </w:r>
    </w:p>
    <w:p>
      <w:pPr>
        <w:pStyle w:val="FirstParagraph"/>
      </w:pPr>
      <w:r>
        <w:t xml:space="preserve">While academic literature extensively covers auditing principles globally and Turkey's general accounting standards (TAS/ISAs), a significant research gap persists regarding the *practical application* of these standards by auditors operating within the complex, high-stakes environment of Turkey's central government institutions concentrated in Ankara. Current studies often generalize across Turkish regions or focus narrowly on private sector audits, neglecting:</w:t>
      </w:r>
    </w:p>
    <w:p>
      <w:pPr>
        <w:numPr>
          <w:ilvl w:val="0"/>
          <w:numId w:val="1001"/>
        </w:numPr>
        <w:pStyle w:val="Compact"/>
      </w:pPr>
      <w:r>
        <w:t xml:space="preserve">The specific challenges faced by auditors when auditing government entities governed by unique public financial management laws (e.g., Law No. 6769 on the Budgets of Public Institutions and Organizations).</w:t>
      </w:r>
    </w:p>
    <w:p>
      <w:pPr>
        <w:numPr>
          <w:ilvl w:val="0"/>
          <w:numId w:val="1001"/>
        </w:numPr>
        <w:pStyle w:val="Compact"/>
      </w:pPr>
      <w:r>
        <w:t xml:space="preserve">The evolving impact of recent regulatory changes (e.g., implementation of the EU Auditing Package adapted for Turkey, enhanced transparency requirements) on auditor practices in Ankara's public sector.</w:t>
      </w:r>
    </w:p>
    <w:p>
      <w:pPr>
        <w:numPr>
          <w:ilvl w:val="0"/>
          <w:numId w:val="1001"/>
        </w:numPr>
        <w:pStyle w:val="Compact"/>
      </w:pPr>
      <w:r>
        <w:t xml:space="preserve">The interplay between local institutional culture, bureaucratic processes within Ankara ministries, and the objectivity demanded of the external auditor.</w:t>
      </w:r>
    </w:p>
    <w:p>
      <w:pPr>
        <w:pStyle w:val="FirstParagraph"/>
      </w:pPr>
      <w:r>
        <w:t xml:space="preserve">This lack of localized research hinders evidence-based policy recommendations to strengthen audit quality specifically for auditors serving Turkey's core administrative body in Ankara. Without understanding these nuances, efforts to improve auditor effectiveness across Turkey remain partially misaligned with the capital's unique context.</w:t>
      </w:r>
    </w:p>
    <w:bookmarkEnd w:id="21"/>
    <w:bookmarkStart w:id="22" w:name="iii.-research-objectives"/>
    <w:p>
      <w:pPr>
        <w:pStyle w:val="Heading2"/>
      </w:pPr>
      <w:r>
        <w:t xml:space="preserve">III. Research Objectives</w:t>
      </w:r>
    </w:p>
    <w:p>
      <w:pPr>
        <w:pStyle w:val="FirstParagraph"/>
      </w:pPr>
      <w:r>
        <w:t xml:space="preserve">This study aims to develop a comprehensive framework for enhancing Auditor effectiveness within the public sector audit environment of Turkey Ankara through the following specific objectives:</w:t>
      </w:r>
    </w:p>
    <w:p>
      <w:pPr>
        <w:numPr>
          <w:ilvl w:val="0"/>
          <w:numId w:val="1002"/>
        </w:numPr>
        <w:pStyle w:val="Compact"/>
      </w:pPr>
      <w:r>
        <w:t xml:space="preserve">To conduct a detailed analysis of current auditing standards (TAS/ISAs), regulatory requirements, and key legal frameworks specifically applicable to external auditors engaged with government bodies headquartered in Ankara.</w:t>
      </w:r>
    </w:p>
    <w:p>
      <w:pPr>
        <w:numPr>
          <w:ilvl w:val="0"/>
          <w:numId w:val="1002"/>
        </w:numPr>
        <w:pStyle w:val="Compact"/>
      </w:pPr>
      <w:r>
        <w:t xml:space="preserve">To empirically investigate the primary challenges faced by External Auditors (both from private firms and internal audit units within public institutions) when performing audits for MoTF, Danıştay, SOEs, and major state universities located in Ankara.</w:t>
      </w:r>
    </w:p>
    <w:p>
      <w:pPr>
        <w:numPr>
          <w:ilvl w:val="0"/>
          <w:numId w:val="1002"/>
        </w:numPr>
        <w:pStyle w:val="Compact"/>
      </w:pPr>
      <w:r>
        <w:t xml:space="preserve">To assess the perceived impact of recent regulatory changes on auditor independence, scope of work, resource allocation, and reporting quality within the Ankara public sector context.</w:t>
      </w:r>
    </w:p>
    <w:p>
      <w:pPr>
        <w:numPr>
          <w:ilvl w:val="0"/>
          <w:numId w:val="1002"/>
        </w:numPr>
        <w:pStyle w:val="Compact"/>
      </w:pPr>
      <w:r>
        <w:t xml:space="preserve">To evaluate the adequacy of professional development programs for auditors working in this specific Turkish capital environment and identify gaps requiring targeted intervention.</w:t>
      </w:r>
    </w:p>
    <w:p>
      <w:pPr>
        <w:numPr>
          <w:ilvl w:val="0"/>
          <w:numId w:val="1002"/>
        </w:numPr>
        <w:pStyle w:val="Compact"/>
      </w:pPr>
      <w:r>
        <w:t xml:space="preserve">To propose actionable recommendations for enhancing Auditor competence, efficiency, and contribution to financial accountability specifically tailored to the Ankara institutional landscape.</w:t>
      </w:r>
    </w:p>
    <w:bookmarkEnd w:id="22"/>
    <w:bookmarkStart w:id="23" w:name="iv.-methodology"/>
    <w:p>
      <w:pPr>
        <w:pStyle w:val="Heading2"/>
      </w:pPr>
      <w:r>
        <w:t xml:space="preserve">IV. Methodology</w:t>
      </w:r>
    </w:p>
    <w:p>
      <w:pPr>
        <w:pStyle w:val="FirstParagraph"/>
      </w:pPr>
      <w:r>
        <w:t xml:space="preserve">This mixed-methods research will employ a triangulated approach suitable for the complex Ankara context:</w:t>
      </w:r>
    </w:p>
    <w:p>
      <w:pPr>
        <w:numPr>
          <w:ilvl w:val="0"/>
          <w:numId w:val="1003"/>
        </w:numPr>
        <w:pStyle w:val="Compact"/>
      </w:pPr>
      <w:r>
        <w:rPr>
          <w:bCs/>
          <w:b/>
        </w:rPr>
        <w:t xml:space="preserve">Document Analysis:</w:t>
      </w:r>
      <w:r>
        <w:t xml:space="preserve"> </w:t>
      </w:r>
      <w:r>
        <w:t xml:space="preserve">Comprehensive review of relevant Turkish legal documents (e.g., Accounting Law No. 6769, MoTF circulars, Danıştay guidelines), recent audit reports from key Ankara institutions (e.g., Court of Accounts reports on state entities), and international standards adapted for Turkey.</w:t>
      </w:r>
    </w:p>
    <w:p>
      <w:pPr>
        <w:numPr>
          <w:ilvl w:val="0"/>
          <w:numId w:val="1003"/>
        </w:numPr>
        <w:pStyle w:val="Compact"/>
      </w:pPr>
      <w:r>
        <w:rPr>
          <w:bCs/>
          <w:b/>
        </w:rPr>
        <w:t xml:space="preserve">Qualitative Interviews:</w:t>
      </w:r>
      <w:r>
        <w:t xml:space="preserve"> </w:t>
      </w:r>
      <w:r>
        <w:t xml:space="preserve">Semi-structured interviews with 25-30 key stakeholders: External Auditors (from leading firms auditing public sector clients in Ankara), Internal Audit Managers within major Ankara-based public institutions, MoTF officials responsible for audit oversight, and Danıştay representatives. This will capture nuanced experiences and challenges directly tied to the Ankara environment.</w:t>
      </w:r>
    </w:p>
    <w:p>
      <w:pPr>
        <w:numPr>
          <w:ilvl w:val="0"/>
          <w:numId w:val="1003"/>
        </w:numPr>
        <w:pStyle w:val="Compact"/>
      </w:pPr>
      <w:r>
        <w:rPr>
          <w:bCs/>
          <w:b/>
        </w:rPr>
        <w:t xml:space="preserve">Quantitative Survey:</w:t>
      </w:r>
      <w:r>
        <w:t xml:space="preserve"> </w:t>
      </w:r>
      <w:r>
        <w:t xml:space="preserve">A structured online survey distributed to a larger sample (100+ auditors) working on public sector engagements across Ankara, focusing on perceived challenges, resource adequacy, regulatory understanding, and training needs.</w:t>
      </w:r>
    </w:p>
    <w:p>
      <w:pPr>
        <w:pStyle w:val="FirstParagraph"/>
      </w:pPr>
      <w:r>
        <w:t xml:space="preserve">Data analysis will utilize thematic analysis for interview transcripts and descriptive/ inferential statistics for survey data. The research design prioritizes the unique Ankara context throughout all phases to ensure findings are directly relevant to this specific location.</w:t>
      </w:r>
    </w:p>
    <w:bookmarkEnd w:id="23"/>
    <w:bookmarkStart w:id="24" w:name="Xcf8fdede89da3e07b036b58680e5995c9decbde"/>
    <w:p>
      <w:pPr>
        <w:pStyle w:val="Heading2"/>
      </w:pPr>
      <w:r>
        <w:t xml:space="preserve">V. Significance of the Study and Expected Contribution</w:t>
      </w:r>
    </w:p>
    <w:p>
      <w:pPr>
        <w:pStyle w:val="FirstParagraph"/>
      </w:pPr>
      <w:r>
        <w:t xml:space="preserve">This</w:t>
      </w:r>
      <w:r>
        <w:t xml:space="preserve"> </w:t>
      </w:r>
      <w:r>
        <w:rPr>
          <w:bCs/>
          <w:b/>
        </w:rPr>
        <w:t xml:space="preserve">Thesis Proposal</w:t>
      </w:r>
      <w:r>
        <w:t xml:space="preserve"> </w:t>
      </w:r>
      <w:r>
        <w:t xml:space="preserve">addresses a critical need for localized knowledge in Turkey's auditing landscape. The expected contributions are multifaceted:</w:t>
      </w:r>
    </w:p>
    <w:p>
      <w:pPr>
        <w:numPr>
          <w:ilvl w:val="0"/>
          <w:numId w:val="1004"/>
        </w:numPr>
        <w:pStyle w:val="Compact"/>
      </w:pPr>
      <w:r>
        <w:rPr>
          <w:bCs/>
          <w:b/>
        </w:rPr>
        <w:t xml:space="preserve">To Turkish Regulators (MoTF, Danıştay, SPK):</w:t>
      </w:r>
      <w:r>
        <w:t xml:space="preserve"> </w:t>
      </w:r>
      <w:r>
        <w:t xml:space="preserve">Provides actionable data on the ground realities faced by auditors in Ankara, informing more effective regulatory guidance and oversight mechanisms tailored to the capital's specific public sector dynamics.</w:t>
      </w:r>
    </w:p>
    <w:p>
      <w:pPr>
        <w:numPr>
          <w:ilvl w:val="0"/>
          <w:numId w:val="1004"/>
        </w:numPr>
        <w:pStyle w:val="Compact"/>
      </w:pPr>
      <w:r>
        <w:rPr>
          <w:bCs/>
          <w:b/>
        </w:rPr>
        <w:t xml:space="preserve">To Auditor Firms &amp; Professional Bodies:</w:t>
      </w:r>
      <w:r>
        <w:t xml:space="preserve"> </w:t>
      </w:r>
      <w:r>
        <w:t xml:space="preserve">Offers insights into the distinct competencies and challenges required for successful public sector auditing within Turkey's central government hub (Ankara), guiding firm-specific training programs and professional development initiatives.</w:t>
      </w:r>
    </w:p>
    <w:p>
      <w:pPr>
        <w:numPr>
          <w:ilvl w:val="0"/>
          <w:numId w:val="1004"/>
        </w:numPr>
        <w:pStyle w:val="Compact"/>
      </w:pPr>
      <w:r>
        <w:rPr>
          <w:bCs/>
          <w:b/>
        </w:rPr>
        <w:t xml:space="preserve">To Academic Research:</w:t>
      </w:r>
      <w:r>
        <w:t xml:space="preserve"> </w:t>
      </w:r>
      <w:r>
        <w:t xml:space="preserve">Establishes a foundational, context-specific body of knowledge on auditor effectiveness in Turkey Ankara, moving beyond broad national studies to provide a detailed micro-case study essential for future academic work on public sector auditing in emerging economies.</w:t>
      </w:r>
    </w:p>
    <w:p>
      <w:pPr>
        <w:numPr>
          <w:ilvl w:val="0"/>
          <w:numId w:val="1004"/>
        </w:numPr>
        <w:pStyle w:val="Compact"/>
      </w:pPr>
      <w:r>
        <w:rPr>
          <w:bCs/>
          <w:b/>
        </w:rPr>
        <w:t xml:space="preserve">To Public Sector Governance in Turkey:</w:t>
      </w:r>
      <w:r>
        <w:t xml:space="preserve"> </w:t>
      </w:r>
      <w:r>
        <w:t xml:space="preserve">Contributes directly to strengthening financial accountability and transparency within the heart of Turkey's governance system (Ankara), ultimately supporting more efficient and trustworthy public resource management across the nation. The enhanced role of the Auditor, understood within this specific Ankara context, is vital for sustainable economic development.</w:t>
      </w:r>
    </w:p>
    <w:bookmarkEnd w:id="24"/>
    <w:bookmarkStart w:id="25" w:name="vi.-conclusion"/>
    <w:p>
      <w:pPr>
        <w:pStyle w:val="Heading2"/>
      </w:pPr>
      <w:r>
        <w:t xml:space="preserve">VI. Conclusion</w:t>
      </w:r>
    </w:p>
    <w:p>
      <w:pPr>
        <w:pStyle w:val="FirstParagraph"/>
      </w:pPr>
      <w:r>
        <w:t xml:space="preserve">The effectiveness of the</w:t>
      </w:r>
      <w:r>
        <w:t xml:space="preserve"> </w:t>
      </w:r>
      <w:r>
        <w:rPr>
          <w:bCs/>
          <w:b/>
        </w:rPr>
        <w:t xml:space="preserve">Auditor</w:t>
      </w:r>
      <w:r>
        <w:t xml:space="preserve"> </w:t>
      </w:r>
      <w:r>
        <w:t xml:space="preserve">is paramount to sound financial governance in Turkey. Focusing research on the unique environment of Turkey's capital city, Ankara – where the central government machinery operates – is not merely geographical; it is strategically essential. This</w:t>
      </w:r>
      <w:r>
        <w:t xml:space="preserve"> </w:t>
      </w:r>
      <w:r>
        <w:rPr>
          <w:bCs/>
          <w:b/>
        </w:rPr>
        <w:t xml:space="preserve">Thesis Proposal</w:t>
      </w:r>
      <w:r>
        <w:t xml:space="preserve"> </w:t>
      </w:r>
      <w:r>
        <w:t xml:space="preserve">outlines a necessary investigation into the practical realities, challenges, and development needs of Auditors serving this critical jurisdiction. By grounding the research firmly within the Ankara ecosystem through rigorous methodology targeting its specific institutions and regulations, this study promises to deliver significant value to regulators, practitioners, academics, and ultimately Turkish society. The findings will provide a clear roadmap for strengthening Auditor competence and impact precisely where Turkey's public financial accountability is most concentrated: in Ankara.</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Turkey Ankara's Regulatory Landscape</dc:title>
  <dc:creator/>
  <dc:language>en</dc:language>
  <cp:keywords/>
  <dcterms:created xsi:type="dcterms:W3CDTF">2026-07-13T18:25:39Z</dcterms:created>
  <dcterms:modified xsi:type="dcterms:W3CDTF">2026-07-13T18:25:39Z</dcterms:modified>
</cp:coreProperties>
</file>

<file path=docProps/custom.xml><?xml version="1.0" encoding="utf-8"?>
<Properties xmlns="http://schemas.openxmlformats.org/officeDocument/2006/custom-properties" xmlns:vt="http://schemas.openxmlformats.org/officeDocument/2006/docPropsVTypes"/>
</file>