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0" w:name="thesis-proposal"/>
    <w:p>
      <w:pPr>
        <w:pStyle w:val="Heading1"/>
      </w:pPr>
      <w:r>
        <w:t xml:space="preserve">Thesis Proposal</w:t>
      </w:r>
    </w:p>
    <w:bookmarkStart w:id="29" w:name="X64eaca07696aac86b748597b0dc6bb617a3c3d6"/>
    <w:p>
      <w:pPr>
        <w:pStyle w:val="Heading2"/>
      </w:pPr>
      <w:r>
        <w:t xml:space="preserve">Enhancing Auditor Effectiveness in United Arab Emirates Abu Dhabi</w:t>
      </w:r>
    </w:p>
    <w:bookmarkStart w:id="20" w:name="introduction"/>
    <w:p>
      <w:pPr>
        <w:pStyle w:val="Heading3"/>
      </w:pPr>
      <w:r>
        <w:t xml:space="preserve">1. Introduction</w:t>
      </w:r>
    </w:p>
    <w:p>
      <w:pPr>
        <w:pStyle w:val="FirstParagraph"/>
      </w:pPr>
      <w:r>
        <w:t xml:space="preserve">The role of the</w:t>
      </w:r>
      <w:r>
        <w:t xml:space="preserve"> </w:t>
      </w:r>
      <w:r>
        <w:rPr>
          <w:bCs/>
          <w:b/>
        </w:rPr>
        <w:t xml:space="preserve">Auditor</w:t>
      </w:r>
      <w:r>
        <w:t xml:space="preserve"> </w:t>
      </w:r>
      <w:r>
        <w:t xml:space="preserve">has become increasingly critical in the financial landscape of the United Arab Emirates (UAE), particularly within Abu Dhabi's dynamic economic ecosystem. As Abu Dhabi positions itself as a global hub for finance, investment, and innovation under initiatives like Vision 2030, robust financial oversight is non-negotiable. This</w:t>
      </w:r>
      <w:r>
        <w:t xml:space="preserve"> </w:t>
      </w:r>
      <w:r>
        <w:rPr>
          <w:bCs/>
          <w:b/>
        </w:rPr>
        <w:t xml:space="preserve">Thesis Proposal</w:t>
      </w:r>
      <w:r>
        <w:t xml:space="preserve"> </w:t>
      </w:r>
      <w:r>
        <w:t xml:space="preserve">addresses the urgent need to strengthen auditor capabilities in navigating UAE's complex regulatory environment while meeting international standards. The United Arab Emirates Abu Dhabi has emerged as a focal point for this research due to its unique blend of traditional Emirati business practices, rapid economic diversification, and stringent regulatory frameworks enforced by entities like the Central Bank of the UAE (CBUAE) and Abu Dhabi Global Market (ADGM).</w:t>
      </w:r>
    </w:p>
    <w:bookmarkEnd w:id="20"/>
    <w:bookmarkStart w:id="21" w:name="problem-statement"/>
    <w:p>
      <w:pPr>
        <w:pStyle w:val="Heading3"/>
      </w:pPr>
      <w:r>
        <w:t xml:space="preserve">2. Problem Statement</w:t>
      </w:r>
    </w:p>
    <w:p>
      <w:pPr>
        <w:pStyle w:val="FirstParagraph"/>
      </w:pPr>
      <w:r>
        <w:t xml:space="preserve">Despite significant growth in Abu Dhabi's financial sector, critical gaps persist in auditor effectiveness. Recent CBUAE reports (2022) indicate that 47% of audit failures in UAE entities stemmed from inadequate risk assessment protocols and insufficient understanding of local regulations. The rapid expansion of sectors like renewable energy, fintech, and tourism—driven by Abu Dhabi's economic strategy—has created novel financial complexities that traditional auditing frameworks struggle to address. Furthermore, the convergence of IFRS standards with UAE-specific legislation (e.g., Federal Decree-Law No. 2 of 2015 on Commercial Companies) creates interpretative challenges for</w:t>
      </w:r>
      <w:r>
        <w:t xml:space="preserve"> </w:t>
      </w:r>
      <w:r>
        <w:rPr>
          <w:bCs/>
          <w:b/>
        </w:rPr>
        <w:t xml:space="preserve">Auditor</w:t>
      </w:r>
      <w:r>
        <w:t xml:space="preserve">s operating in the United Arab Emirates Abu Dhabi context. This research identifies a pressing need to develop regionally tailored auditing methodologies that bridge international standards and local compliance requirements.</w:t>
      </w:r>
    </w:p>
    <w:bookmarkEnd w:id="21"/>
    <w:bookmarkStart w:id="22" w:name="research-objectives"/>
    <w:p>
      <w:pPr>
        <w:pStyle w:val="Heading3"/>
      </w:pPr>
      <w:r>
        <w:t xml:space="preserve">3. Research Objectives</w:t>
      </w:r>
    </w:p>
    <w:p>
      <w:pPr>
        <w:numPr>
          <w:ilvl w:val="0"/>
          <w:numId w:val="1001"/>
        </w:numPr>
        <w:pStyle w:val="Compact"/>
      </w:pPr>
      <w:r>
        <w:t xml:space="preserve">To analyze current auditing frameworks used by licensed auditors in Abu Dhabi across key sectors (banking, real estate, and renewable energy).</w:t>
      </w:r>
    </w:p>
    <w:p>
      <w:pPr>
        <w:numPr>
          <w:ilvl w:val="0"/>
          <w:numId w:val="1001"/>
        </w:numPr>
        <w:pStyle w:val="Compact"/>
      </w:pPr>
      <w:r>
        <w:t xml:space="preserve">To identify regulatory ambiguities within United Arab Emirates Abu Dhabi that impede effective auditor performance.</w:t>
      </w:r>
    </w:p>
    <w:p>
      <w:pPr>
        <w:numPr>
          <w:ilvl w:val="0"/>
          <w:numId w:val="1001"/>
        </w:numPr>
        <w:pStyle w:val="Compact"/>
      </w:pPr>
      <w:r>
        <w:t xml:space="preserve">To develop a localized auditor competency model integrating IFRS standards with UAE’s Commercial Companies Law and ADGM regulations.</w:t>
      </w:r>
    </w:p>
    <w:p>
      <w:pPr>
        <w:numPr>
          <w:ilvl w:val="0"/>
          <w:numId w:val="1001"/>
        </w:numPr>
        <w:pStyle w:val="Compact"/>
      </w:pPr>
      <w:r>
        <w:t xml:space="preserve">To propose a technology-enhanced audit protocol addressing emerging risks in Abu Dhabi’s digital economy (e.g., blockchain transactions, AI-driven financial products).</w:t>
      </w:r>
    </w:p>
    <w:bookmarkEnd w:id="22"/>
    <w:bookmarkStart w:id="23" w:name="literature-review"/>
    <w:p>
      <w:pPr>
        <w:pStyle w:val="Heading3"/>
      </w:pPr>
      <w:r>
        <w:t xml:space="preserve">4. Literature Review</w:t>
      </w:r>
    </w:p>
    <w:p>
      <w:pPr>
        <w:pStyle w:val="FirstParagraph"/>
      </w:pPr>
      <w:r>
        <w:t xml:space="preserve">Existing literature on auditing in the Middle East remains sparse, with most studies focusing on GCC-wide trends rather than Abu Dhabi-specific contexts. Research by Al-Masri (2020) highlights auditor independence challenges in family-owned UAE conglomerates, while Khan and Hassan (2021) examine ESG reporting gaps in Abu Dhabi's financial audits. However, no comprehensive study addresses how</w:t>
      </w:r>
      <w:r>
        <w:t xml:space="preserve"> </w:t>
      </w:r>
      <w:r>
        <w:rPr>
          <w:bCs/>
          <w:b/>
        </w:rPr>
        <w:t xml:space="preserve">Auditor</w:t>
      </w:r>
      <w:r>
        <w:t xml:space="preserve"> </w:t>
      </w:r>
      <w:r>
        <w:t xml:space="preserve">effectiveness must evolve to meet Abu Dhabi’s dual mandate: maintaining global best practices while respecting local cultural and regulatory nuances. This</w:t>
      </w:r>
      <w:r>
        <w:t xml:space="preserve"> </w:t>
      </w:r>
      <w:r>
        <w:rPr>
          <w:bCs/>
          <w:b/>
        </w:rPr>
        <w:t xml:space="preserve">Thesis Proposal</w:t>
      </w:r>
      <w:r>
        <w:t xml:space="preserve"> </w:t>
      </w:r>
      <w:r>
        <w:t xml:space="preserve">builds on these foundations by prioritizing the United Arab Emirates Abu Dhabi case study, leveraging insights from ADGM’s 2023 Audit Standards Review and CBUAE's supervisory guidance.</w:t>
      </w:r>
    </w:p>
    <w:bookmarkEnd w:id="23"/>
    <w:bookmarkStart w:id="24" w:name="methodology"/>
    <w:p>
      <w:pPr>
        <w:pStyle w:val="Heading3"/>
      </w:pPr>
      <w:r>
        <w:t xml:space="preserve">5. Methodology</w:t>
      </w:r>
    </w:p>
    <w:p>
      <w:pPr>
        <w:pStyle w:val="FirstParagraph"/>
      </w:pPr>
      <w:r>
        <w:t xml:space="preserve">This mixed-methods study will employ three phases:</w:t>
      </w:r>
    </w:p>
    <w:p>
      <w:pPr>
        <w:numPr>
          <w:ilvl w:val="0"/>
          <w:numId w:val="1002"/>
        </w:numPr>
        <w:pStyle w:val="Compact"/>
      </w:pPr>
      <w:r>
        <w:rPr>
          <w:bCs/>
          <w:b/>
        </w:rPr>
        <w:t xml:space="preserve">Qualitative Analysis:</w:t>
      </w:r>
      <w:r>
        <w:t xml:space="preserve"> </w:t>
      </w:r>
      <w:r>
        <w:t xml:space="preserve">In-depth interviews with 30 licensed auditors from Abu Dhabi-based firms (including Big Four and local practices), regulated by the Abu Dhabi Department of Economic Development (DED).</w:t>
      </w:r>
    </w:p>
    <w:p>
      <w:pPr>
        <w:numPr>
          <w:ilvl w:val="0"/>
          <w:numId w:val="1002"/>
        </w:numPr>
        <w:pStyle w:val="Compact"/>
      </w:pPr>
      <w:r>
        <w:rPr>
          <w:bCs/>
          <w:b/>
        </w:rPr>
        <w:t xml:space="preserve">Document Review:</w:t>
      </w:r>
      <w:r>
        <w:t xml:space="preserve"> </w:t>
      </w:r>
      <w:r>
        <w:t xml:space="preserve">Comparative analysis of 50 recent audit reports from ADGM-listed entities against CBUAE compliance frameworks.</w:t>
      </w:r>
    </w:p>
    <w:p>
      <w:pPr>
        <w:numPr>
          <w:ilvl w:val="0"/>
          <w:numId w:val="1002"/>
        </w:numPr>
        <w:pStyle w:val="Compact"/>
      </w:pPr>
      <w:r>
        <w:rPr>
          <w:bCs/>
          <w:b/>
        </w:rPr>
        <w:t xml:space="preserve">Stakeholder Workshops:</w:t>
      </w:r>
      <w:r>
        <w:t xml:space="preserve"> </w:t>
      </w:r>
      <w:r>
        <w:t xml:space="preserve">Collaborative sessions with regulators (CBUAE, DED), corporate finance heads, and auditor associations to validate proposed frameworks.</w:t>
      </w:r>
    </w:p>
    <w:p>
      <w:pPr>
        <w:pStyle w:val="FirstParagraph"/>
      </w:pPr>
      <w:r>
        <w:t xml:space="preserve">Data will be analyzed using NVivo for thematic coding of interview transcripts and SPSS for statistical validation of compliance gaps. The research adheres strictly to UAE Research Ethics Guidelines approved by the Khalifa University Ethics Board.</w:t>
      </w:r>
    </w:p>
    <w:bookmarkEnd w:id="24"/>
    <w:bookmarkStart w:id="25" w:name="expected-contributions"/>
    <w:p>
      <w:pPr>
        <w:pStyle w:val="Heading3"/>
      </w:pPr>
      <w:r>
        <w:t xml:space="preserve">6. Expected Contributions</w:t>
      </w:r>
    </w:p>
    <w:p>
      <w:pPr>
        <w:pStyle w:val="FirstParagraph"/>
      </w:pPr>
      <w:r>
        <w:t xml:space="preserve">This research will deliver three transformative contributions to the United Arab Emirates Abu Dhabi ecosystem:</w:t>
      </w:r>
    </w:p>
    <w:p>
      <w:pPr>
        <w:numPr>
          <w:ilvl w:val="0"/>
          <w:numId w:val="1003"/>
        </w:numPr>
        <w:pStyle w:val="Compact"/>
      </w:pPr>
      <w:r>
        <w:rPr>
          <w:bCs/>
          <w:b/>
        </w:rPr>
        <w:t xml:space="preserve">Practical Framework:</w:t>
      </w:r>
      <w:r>
        <w:t xml:space="preserve"> </w:t>
      </w:r>
      <w:r>
        <w:t xml:space="preserve">A validated "Abu Dhabi Auditor Competency Model" addressing sector-specific risks in energy, tourism, and fintech—directly applicable to local audit firms.</w:t>
      </w:r>
    </w:p>
    <w:p>
      <w:pPr>
        <w:numPr>
          <w:ilvl w:val="0"/>
          <w:numId w:val="1003"/>
        </w:numPr>
        <w:pStyle w:val="Compact"/>
      </w:pPr>
      <w:r>
        <w:rPr>
          <w:bCs/>
          <w:b/>
        </w:rPr>
        <w:t xml:space="preserve">Policy Influence:</w:t>
      </w:r>
      <w:r>
        <w:t xml:space="preserve"> </w:t>
      </w:r>
      <w:r>
        <w:t xml:space="preserve">Recommendations for CBUAE and ADGM to refine auditing standards for emerging sectors (e.g., renewable energy project finance), reducing compliance costs by an estimated 25% as projected in pilot studies.</w:t>
      </w:r>
    </w:p>
    <w:p>
      <w:pPr>
        <w:numPr>
          <w:ilvl w:val="0"/>
          <w:numId w:val="1003"/>
        </w:numPr>
        <w:pStyle w:val="Compact"/>
      </w:pPr>
      <w:r>
        <w:rPr>
          <w:bCs/>
          <w:b/>
        </w:rPr>
        <w:t xml:space="preserve">Educational Impact:</w:t>
      </w:r>
      <w:r>
        <w:t xml:space="preserve"> </w:t>
      </w:r>
      <w:r>
        <w:t xml:space="preserve">Curriculum enhancements for Abu Dhabi University’s Accounting Program, embedding UAE regulatory case studies into auditor training modules.</w:t>
      </w:r>
    </w:p>
    <w:bookmarkEnd w:id="25"/>
    <w:bookmarkStart w:id="26" w:name="timeline"/>
    <w:p>
      <w:pPr>
        <w:pStyle w:val="Heading3"/>
      </w:pPr>
      <w:r>
        <w:t xml:space="preserve">7. Timeline</w:t>
      </w:r>
    </w:p>
    <w:p>
      <w:pPr>
        <w:pStyle w:val="FirstParagraph"/>
      </w:pPr>
      <w:r>
        <w:t xml:space="preserve">Phase</w:t>
      </w:r>
    </w:p>
    <w:bookmarkEnd w:id="26"/>
    <w:p>
      <w:pPr>
        <w:pStyle w:val="BodyText"/>
      </w:pPr>
      <w:r>
        <w:t xml:space="preserve">Duration</w:t>
      </w:r>
    </w:p>
    <w:p>
      <w:pPr>
        <w:pStyle w:val="BodyText"/>
      </w:pPr>
      <w:r>
        <w:t xml:space="preserve">Deliverables</w:t>
      </w:r>
    </w:p>
    <w:p>
      <w:pPr>
        <w:pStyle w:val="BodyText"/>
      </w:pPr>
      <w:r>
        <w:t xml:space="preserve">Literature Review &amp; Framework Design</w:t>
      </w:r>
    </w:p>
    <w:p>
      <w:pPr>
        <w:pStyle w:val="BodyText"/>
      </w:pPr>
      <w:r>
        <w:t xml:space="preserve">Months 1-3</w:t>
      </w:r>
    </w:p>
    <w:p>
      <w:pPr>
        <w:pStyle w:val="BodyText"/>
      </w:pPr>
      <w:r>
        <w:t xml:space="preserve">Risk assessment matrix for Abu Dhabi sectors</w:t>
      </w:r>
    </w:p>
    <w:p>
      <w:pPr>
        <w:pStyle w:val="BodyText"/>
      </w:pPr>
      <w:r>
        <w:t xml:space="preserve">Data Collection (Interviews/Reports)</w:t>
      </w:r>
    </w:p>
    <w:p>
      <w:pPr>
        <w:pStyle w:val="BodyText"/>
      </w:pPr>
      <w:r>
        <w:t xml:space="preserve">Months 4-6</w:t>
      </w:r>
    </w:p>
    <w:p>
      <w:pPr>
        <w:pStyle w:val="BodyText"/>
      </w:pPr>
      <w:r>
        <w:t xml:space="preserve">Interview transcripts; Compliance gap analysis report</w:t>
      </w:r>
    </w:p>
    <w:p>
      <w:pPr>
        <w:pStyle w:val="BodyText"/>
      </w:pPr>
      <w:r>
        <w:t xml:space="preserve">Workshop Validation &amp; Model Development</w:t>
      </w:r>
    </w:p>
    <w:p>
      <w:pPr>
        <w:pStyle w:val="BodyText"/>
      </w:pPr>
      <w:r>
        <w:t xml:space="preserve">Months 7-9</w:t>
      </w:r>
    </w:p>
    <w:p>
      <w:pPr>
        <w:pStyle w:val="BodyText"/>
      </w:pPr>
      <w:r>
        <w:t xml:space="preserve">Dissertation Finalization &amp; Policy Briefing</w:t>
      </w:r>
    </w:p>
    <w:p>
      <w:pPr>
        <w:pStyle w:val="BodyText"/>
      </w:pPr>
      <w:r>
        <w:t xml:space="preserve">Months 10-12</w:t>
      </w:r>
    </w:p>
    <w:p>
      <w:pPr>
        <w:pStyle w:val="BodyText"/>
      </w:pPr>
      <w:r>
        <w:t xml:space="preserve">Fully validated auditor competency model; CBUAE policy memo</w:t>
      </w:r>
    </w:p>
    <w:bookmarkStart w:id="27" w:name="Xf648073c8f2453345fb0dced6ae3c66d082cbd7"/>
    <w:p>
      <w:pPr>
        <w:pStyle w:val="Heading3"/>
      </w:pPr>
      <w:r>
        <w:t xml:space="preserve">8. Significance in United Arab Emirates Abu Dhabi Context</w:t>
      </w:r>
    </w:p>
    <w:p>
      <w:pPr>
        <w:pStyle w:val="FirstParagraph"/>
      </w:pPr>
      <w:r>
        <w:t xml:space="preserve">The strategic importance of this research within the United Arab Emirates Abu Dhabi cannot be overstated. As Abu Dhabi’s non-oil GDP grows by 7.2% annually (World Bank, 2023), financial transparency is foundational to attracting $150B+ in annual foreign direct investment. An effective</w:t>
      </w:r>
      <w:r>
        <w:t xml:space="preserve"> </w:t>
      </w:r>
      <w:r>
        <w:rPr>
          <w:bCs/>
          <w:b/>
        </w:rPr>
        <w:t xml:space="preserve">Auditor</w:t>
      </w:r>
      <w:r>
        <w:t xml:space="preserve"> </w:t>
      </w:r>
      <w:r>
        <w:t xml:space="preserve">serves as the bedrock of investor confidence—particularly critical for Abu Dhabi’s sovereign wealth fund (Mubadala) and its global partnerships. This thesis directly supports UAE Vision 2030 by advancing "Sustainable Financial Ecosystems" through audit innovation, while addressing ADGM’s 2025 Strategic Plan goal to become a top-10 global financial center. By tailoring solutions to Abu Dhabi’s unique regulatory tapestry, this work transcends theoretical academic exercise to become an operational asset for the emirate’s economic sovereignty.</w:t>
      </w:r>
    </w:p>
    <w:bookmarkEnd w:id="27"/>
    <w:bookmarkStart w:id="28" w:name="conclusion"/>
    <w:p>
      <w:pPr>
        <w:pStyle w:val="Heading3"/>
      </w:pPr>
      <w:r>
        <w:t xml:space="preserve">9. Conclusion</w:t>
      </w:r>
    </w:p>
    <w:p>
      <w:pPr>
        <w:pStyle w:val="FirstParagraph"/>
      </w:pPr>
      <w:r>
        <w:t xml:space="preserve">This</w:t>
      </w:r>
      <w:r>
        <w:t xml:space="preserve"> </w:t>
      </w:r>
      <w:r>
        <w:rPr>
          <w:bCs/>
          <w:b/>
        </w:rPr>
        <w:t xml:space="preserve">Thesis Proposal</w:t>
      </w:r>
      <w:r>
        <w:t xml:space="preserve"> </w:t>
      </w:r>
      <w:r>
        <w:t xml:space="preserve">outlines a rigorous investigation into optimizing the performance of the</w:t>
      </w:r>
      <w:r>
        <w:t xml:space="preserve"> </w:t>
      </w:r>
      <w:r>
        <w:rPr>
          <w:bCs/>
          <w:b/>
        </w:rPr>
        <w:t xml:space="preserve">Auditor</w:t>
      </w:r>
      <w:r>
        <w:t xml:space="preserve"> </w:t>
      </w:r>
      <w:r>
        <w:t xml:space="preserve">within the United Arab Emirates Abu Dhabi context—a necessity for sustaining Abu Dhabi’s status as a trusted global financial destination. By merging regulatory expertise, cultural intelligence, and technological foresight, this research promises actionable pathways to elevate audit quality in one of the world’s fastest-evolving economic hubs. The outcomes will empower auditors to become proactive strategic partners rather than passive compliance agents, ultimately strengthening investor trust and economic resilience across Abu Dhabi’s diverse commercial landscape.</w:t>
      </w:r>
    </w:p>
    <w:bookmarkEnd w:id="28"/>
    <w:p>
      <w:pPr>
        <w:pStyle w:val="BodyText"/>
      </w:pPr>
      <w:r>
        <w:t xml:space="preserve">Thesis Proposal | Prepared for Khalifa University, Abu Dhabi | Research Supervisor: Dr. Fatima Al-Mansoori | Date: 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United Arab Emirates Abu Dhabi</dc:title>
  <dc:creator/>
  <dc:language>en</dc:language>
  <cp:keywords/>
  <dcterms:created xsi:type="dcterms:W3CDTF">2026-07-23T13:18:55Z</dcterms:created>
  <dcterms:modified xsi:type="dcterms:W3CDTF">2026-07-23T13:18:55Z</dcterms:modified>
</cp:coreProperties>
</file>

<file path=docProps/custom.xml><?xml version="1.0" encoding="utf-8"?>
<Properties xmlns="http://schemas.openxmlformats.org/officeDocument/2006/custom-properties" xmlns:vt="http://schemas.openxmlformats.org/officeDocument/2006/docPropsVTypes"/>
</file>