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Kingdom</w:t>
      </w:r>
      <w:r>
        <w:t xml:space="preserve"> </w:t>
      </w:r>
      <w:r>
        <w:t xml:space="preserve">London's</w:t>
      </w:r>
      <w:r>
        <w:t xml:space="preserve"> </w:t>
      </w:r>
      <w:r>
        <w:t xml:space="preserve">Financial</w:t>
      </w:r>
      <w:r>
        <w:t xml:space="preserve"> </w:t>
      </w:r>
      <w:r>
        <w:t xml:space="preserve">Ecosystem</w:t>
      </w:r>
    </w:p>
    <w:bookmarkStart w:id="29" w:name="X5d0b30e929cc6122c3c4fdc993508ac2171eb44"/>
    <w:p>
      <w:pPr>
        <w:pStyle w:val="Heading1"/>
      </w:pPr>
      <w:r>
        <w:t xml:space="preserve">Thesis Proposal: The Evolving Role of the Auditor in United Kingdom London's Financial Ecosystem</w:t>
      </w:r>
    </w:p>
    <w:bookmarkStart w:id="20" w:name="introduction"/>
    <w:p>
      <w:pPr>
        <w:pStyle w:val="Heading2"/>
      </w:pPr>
      <w:r>
        <w:t xml:space="preserve">1. Introduction</w:t>
      </w:r>
    </w:p>
    <w:p>
      <w:pPr>
        <w:pStyle w:val="FirstParagraph"/>
      </w:pPr>
      <w:r>
        <w:t xml:space="preserve">In the heart of global finance, London stands as a pivotal hub for international capital markets, banking, and complex financial transactions within the</w:t>
      </w:r>
      <w:r>
        <w:t xml:space="preserve"> </w:t>
      </w:r>
      <w:r>
        <w:rPr>
          <w:iCs/>
          <w:i/>
        </w:rPr>
        <w:t xml:space="preserve">United Kingdom London</w:t>
      </w:r>
      <w:r>
        <w:t xml:space="preserve"> </w:t>
      </w:r>
      <w:r>
        <w:t xml:space="preserve">landscape. As businesses navigate unprecedented regulatory complexity and economic volatility, the role of the</w:t>
      </w:r>
      <w:r>
        <w:t xml:space="preserve"> </w:t>
      </w:r>
      <w:r>
        <w:rPr>
          <w:bCs/>
          <w:b/>
        </w:rPr>
        <w:t xml:space="preserve">Auditor</w:t>
      </w:r>
      <w:r>
        <w:t xml:space="preserve"> </w:t>
      </w:r>
      <w:r>
        <w:t xml:space="preserve">has transcended traditional financial statement verification to become a strategic guardian of trust and corporate integrity. This</w:t>
      </w:r>
      <w:r>
        <w:t xml:space="preserve"> </w:t>
      </w:r>
      <w:r>
        <w:rPr>
          <w:bCs/>
          <w:b/>
        </w:rPr>
        <w:t xml:space="preserve">Thesis Proposal</w:t>
      </w:r>
      <w:r>
        <w:t xml:space="preserve"> </w:t>
      </w:r>
      <w:r>
        <w:t xml:space="preserve">addresses critical gaps in understanding how modern auditors operate within London's unique financial ecosystem, where stringent UK regulatory frameworks intersect with global market pressures. The proposed research examines the evolving responsibilities, challenges, and ethical imperatives facing auditors as they uphold accountability in one of the world's most dynamic financial centers.</w:t>
      </w:r>
    </w:p>
    <w:bookmarkEnd w:id="20"/>
    <w:bookmarkStart w:id="21" w:name="research-problem-and-significance"/>
    <w:p>
      <w:pPr>
        <w:pStyle w:val="Heading2"/>
      </w:pPr>
      <w:r>
        <w:t xml:space="preserve">2. Research Problem and Significance</w:t>
      </w:r>
    </w:p>
    <w:p>
      <w:pPr>
        <w:pStyle w:val="FirstParagraph"/>
      </w:pPr>
      <w:r>
        <w:t xml:space="preserve">The collapse of high-profile firms like Carillion (2018) and the persistent issue of audit failures in UK-listed companies underscore a pressing need for deeper insight into contemporary auditing practices. While existing literature focuses on general auditor behavior, it neglects London's specific context: its concentration of multinational banks, fintech innovation, post-Brexit regulatory shifts (e.g., Financial Conduct Authority reforms), and the SEC’s global scrutiny of UK auditors. This gap is critical because London accounts for 20% of global asset management and hosts 15% of Europe’s top 500 companies—where audit failures carry systemic risk. This</w:t>
      </w:r>
      <w:r>
        <w:t xml:space="preserve"> </w:t>
      </w:r>
      <w:r>
        <w:rPr>
          <w:bCs/>
          <w:b/>
        </w:rPr>
        <w:t xml:space="preserve">Thesis Proposal</w:t>
      </w:r>
      <w:r>
        <w:t xml:space="preserve"> </w:t>
      </w:r>
      <w:r>
        <w:t xml:space="preserve">investigates how the</w:t>
      </w:r>
      <w:r>
        <w:t xml:space="preserve"> </w:t>
      </w:r>
      <w:r>
        <w:rPr>
          <w:iCs/>
          <w:i/>
        </w:rPr>
        <w:t xml:space="preserve">Auditor</w:t>
      </w:r>
      <w:r>
        <w:t xml:space="preserve"> </w:t>
      </w:r>
      <w:r>
        <w:t xml:space="preserve">adapts to these pressures, directly impacting market confidence in the</w:t>
      </w:r>
      <w:r>
        <w:t xml:space="preserve"> </w:t>
      </w:r>
      <w:r>
        <w:rPr>
          <w:iCs/>
          <w:i/>
        </w:rPr>
        <w:t xml:space="preserve">United Kingdom London</w:t>
      </w:r>
      <w:r>
        <w:t xml:space="preserve"> </w:t>
      </w:r>
      <w:r>
        <w:t xml:space="preserve">financial infrastructure.</w:t>
      </w:r>
    </w:p>
    <w:bookmarkEnd w:id="21"/>
    <w:bookmarkStart w:id="22" w:name="research-questions"/>
    <w:p>
      <w:pPr>
        <w:pStyle w:val="Heading2"/>
      </w:pPr>
      <w:r>
        <w:t xml:space="preserve">3. Research Questions</w:t>
      </w:r>
    </w:p>
    <w:p>
      <w:pPr>
        <w:numPr>
          <w:ilvl w:val="0"/>
          <w:numId w:val="1001"/>
        </w:numPr>
        <w:pStyle w:val="Compact"/>
      </w:pPr>
      <w:r>
        <w:rPr>
          <w:bCs/>
          <w:b/>
        </w:rPr>
        <w:t xml:space="preserve">RQ1:</w:t>
      </w:r>
      <w:r>
        <w:t xml:space="preserve"> </w:t>
      </w:r>
      <w:r>
        <w:t xml:space="preserve">How do UK auditors in London navigate conflicting regulatory demands between EU directives (pre-Brexit) and new UK frameworks (e.g., Financial Reporting Council’s Audit Reform Bill)?</w:t>
      </w:r>
    </w:p>
    <w:p>
      <w:pPr>
        <w:numPr>
          <w:ilvl w:val="0"/>
          <w:numId w:val="1001"/>
        </w:numPr>
        <w:pStyle w:val="Compact"/>
      </w:pPr>
      <w:r>
        <w:rPr>
          <w:bCs/>
          <w:b/>
        </w:rPr>
        <w:t xml:space="preserve">RQ2:</w:t>
      </w:r>
      <w:r>
        <w:t xml:space="preserve"> </w:t>
      </w:r>
      <w:r>
        <w:t xml:space="preserve">To what extent does technological disruption (AI, blockchain) transform the Auditor’s risk-assessment capabilities in London-based financial institutions?</w:t>
      </w:r>
    </w:p>
    <w:p>
      <w:pPr>
        <w:numPr>
          <w:ilvl w:val="0"/>
          <w:numId w:val="1001"/>
        </w:numPr>
        <w:pStyle w:val="Compact"/>
      </w:pPr>
      <w:r>
        <w:rPr>
          <w:bCs/>
          <w:b/>
        </w:rPr>
        <w:t xml:space="preserve">RQ3:</w:t>
      </w:r>
      <w:r>
        <w:t xml:space="preserve"> </w:t>
      </w:r>
      <w:r>
        <w:t xml:space="preserve">How do ethical dilemmas arise when auditors balance client profitability pressures with public interest obligations in a competitive London market?</w:t>
      </w:r>
    </w:p>
    <w:bookmarkEnd w:id="22"/>
    <w:bookmarkStart w:id="23" w:name="literature-review-selected-themes"/>
    <w:p>
      <w:pPr>
        <w:pStyle w:val="Heading2"/>
      </w:pPr>
      <w:r>
        <w:t xml:space="preserve">4. Literature Review (Selected Themes)</w:t>
      </w:r>
    </w:p>
    <w:p>
      <w:pPr>
        <w:pStyle w:val="FirstParagraph"/>
      </w:pPr>
      <w:r>
        <w:t xml:space="preserve">Current scholarship (e.g., Alles &amp; Jolliffe, 2018; Hail et al., 2019) emphasizes auditor independence and risk management but overlooks London’s geographical and institutional specificity. Studies on post-Brexit regulation (Baker, 2021) focus on policy rather than practitioner experience. Similarly, research on audit technology (Doupnik &amp; Salterio, 2023) analyzes global trends without London-centric case studies. This gap is particularly acute given the UK’s "London First" regulatory philosophy—where auditors must comply with both domestic rules and international standards like ISA 700. Crucially, no study has mapped how these factors coalesce to shape the</w:t>
      </w:r>
      <w:r>
        <w:t xml:space="preserve"> </w:t>
      </w:r>
      <w:r>
        <w:rPr>
          <w:iCs/>
          <w:i/>
        </w:rPr>
        <w:t xml:space="preserve">Auditor</w:t>
      </w:r>
      <w:r>
        <w:t xml:space="preserve">’s daily practice in London, where firms like PwC, EY, and KPMG operate from global headquarters.</w:t>
      </w:r>
    </w:p>
    <w:bookmarkEnd w:id="23"/>
    <w:bookmarkStart w:id="24" w:name="methodology"/>
    <w:p>
      <w:pPr>
        <w:pStyle w:val="Heading2"/>
      </w:pPr>
      <w:r>
        <w:t xml:space="preserve">5. Methodology</w:t>
      </w:r>
    </w:p>
    <w:p>
      <w:pPr>
        <w:pStyle w:val="FirstParagraph"/>
      </w:pPr>
      <w:r>
        <w:t xml:space="preserve">This research employs a sequential mixed-methods design tailored to London’s financial ecosystem:</w:t>
      </w:r>
    </w:p>
    <w:p>
      <w:pPr>
        <w:numPr>
          <w:ilvl w:val="0"/>
          <w:numId w:val="1002"/>
        </w:numPr>
        <w:pStyle w:val="Compact"/>
      </w:pPr>
      <w:r>
        <w:rPr>
          <w:bCs/>
          <w:b/>
        </w:rPr>
        <w:t xml:space="preserve">Phase 1 (Quantitative):</w:t>
      </w:r>
      <w:r>
        <w:t xml:space="preserve"> </w:t>
      </w:r>
      <w:r>
        <w:t xml:space="preserve">Survey of 300+ certified auditors across London-based firms (Big Four, mid-tier, and specialist audit practices), measuring stressors related to regulation, technology, and ethics using Likert-scale questionnaires. Stratified sampling ensures representation across firm size and sector (banking, fintech, retail).</w:t>
      </w:r>
    </w:p>
    <w:p>
      <w:pPr>
        <w:numPr>
          <w:ilvl w:val="0"/>
          <w:numId w:val="1002"/>
        </w:numPr>
        <w:pStyle w:val="Compact"/>
      </w:pPr>
      <w:r>
        <w:rPr>
          <w:bCs/>
          <w:b/>
        </w:rPr>
        <w:t xml:space="preserve">Phase 2 (Qualitative):</w:t>
      </w:r>
      <w:r>
        <w:t xml:space="preserve"> </w:t>
      </w:r>
      <w:r>
        <w:t xml:space="preserve">In-depth interviews with 30 senior auditors and FRC regulators to explore RQ1–RQ3 through case studies of recent London-specific audits (e.g., Barclays’ 2022 financial reporting adjustments, crypto exchange audits).</w:t>
      </w:r>
    </w:p>
    <w:p>
      <w:pPr>
        <w:numPr>
          <w:ilvl w:val="0"/>
          <w:numId w:val="1002"/>
        </w:numPr>
        <w:pStyle w:val="Compact"/>
      </w:pPr>
      <w:r>
        <w:rPr>
          <w:bCs/>
          <w:b/>
        </w:rPr>
        <w:t xml:space="preserve">Data Analysis:</w:t>
      </w:r>
      <w:r>
        <w:t xml:space="preserve"> </w:t>
      </w:r>
      <w:r>
        <w:t xml:space="preserve">Thematic analysis for interview transcripts (NVivo) and regression modeling for survey data to identify correlations between regulatory complexity and audit quality metrics.</w:t>
      </w:r>
    </w:p>
    <w:p>
      <w:pPr>
        <w:pStyle w:val="FirstParagraph"/>
      </w:pPr>
      <w:r>
        <w:t xml:space="preserve">The study adheres to UK ethical guidelines (British Psychological Society, 2021), with anonymized participant data secured via GDPR-compliant protocols. London’s unique access to financial institutions ensures contextual relevance absent in global studies.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three key contributions to academia and practice:</w:t>
      </w:r>
    </w:p>
    <w:p>
      <w:pPr>
        <w:numPr>
          <w:ilvl w:val="0"/>
          <w:numId w:val="1003"/>
        </w:numPr>
        <w:pStyle w:val="Compact"/>
      </w:pPr>
      <w:r>
        <w:rPr>
          <w:iCs/>
          <w:i/>
        </w:rPr>
        <w:t xml:space="preserve">Theoretical:</w:t>
      </w:r>
      <w:r>
        <w:t xml:space="preserve"> </w:t>
      </w:r>
      <w:r>
        <w:t xml:space="preserve">Develops a "London Regulatory Resilience Framework" integrating institutional theory (DiMaggio &amp; Powell, 1983) with auditing, explaining how auditors leverage local networks to navigate post-Brexit complexity.</w:t>
      </w:r>
    </w:p>
    <w:p>
      <w:pPr>
        <w:numPr>
          <w:ilvl w:val="0"/>
          <w:numId w:val="1003"/>
        </w:numPr>
        <w:pStyle w:val="Compact"/>
      </w:pPr>
      <w:r>
        <w:rPr>
          <w:iCs/>
          <w:i/>
        </w:rPr>
        <w:t xml:space="preserve">Practical:</w:t>
      </w:r>
      <w:r>
        <w:t xml:space="preserve"> </w:t>
      </w:r>
      <w:r>
        <w:t xml:space="preserve">Outputs include a London-specific auditor training toolkit addressing AI adoption ethics and regulatory conflict resolution—directly usable by firms like Grant Thornton UK and the Institute of Chartered Accountants in England and Wales (ICAEW).</w:t>
      </w:r>
    </w:p>
    <w:p>
      <w:pPr>
        <w:numPr>
          <w:ilvl w:val="0"/>
          <w:numId w:val="1003"/>
        </w:numPr>
        <w:pStyle w:val="Compact"/>
      </w:pPr>
      <w:r>
        <w:rPr>
          <w:iCs/>
          <w:i/>
        </w:rPr>
        <w:t xml:space="preserve">Policy:</w:t>
      </w:r>
      <w:r>
        <w:t xml:space="preserve"> </w:t>
      </w:r>
      <w:r>
        <w:t xml:space="preserve">Evidence-based recommendations for the FRC to refine its audit quality review process, targeting London’s high-risk sectors (e.g., private equity, ESG reporting).</w:t>
      </w:r>
    </w:p>
    <w:p>
      <w:pPr>
        <w:pStyle w:val="FirstParagraph"/>
      </w:pPr>
      <w:r>
        <w:t xml:space="preserve">By centering the</w:t>
      </w:r>
      <w:r>
        <w:t xml:space="preserve"> </w:t>
      </w:r>
      <w:r>
        <w:rPr>
          <w:bCs/>
          <w:b/>
        </w:rPr>
        <w:t xml:space="preserve">Auditor</w:t>
      </w:r>
      <w:r>
        <w:t xml:space="preserve"> </w:t>
      </w:r>
      <w:r>
        <w:t xml:space="preserve">as a dynamic agent—not just a compliance actor—the research redefines auditing as an adaptive profession essential to UK financial stability. This is vital for London’s status as Europe’s leading financial center, where audit quality directly influences FDI inflows and sovereign credit ratings.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Survey Design</w:t>
      </w:r>
    </w:p>
    <w:p>
      <w:pPr>
        <w:pStyle w:val="BodyText"/>
      </w:pPr>
      <w:r>
        <w:t xml:space="preserve">✓</w:t>
      </w:r>
    </w:p>
    <w:p>
      <w:pPr>
        <w:pStyle w:val="BodyText"/>
      </w:pPr>
      <w:r>
        <w:t xml:space="preserve">Data Collection: Surveys/Interviews (London Focus)</w:t>
      </w:r>
    </w:p>
    <w:p>
      <w:pPr>
        <w:pStyle w:val="BodyText"/>
      </w:pPr>
      <w:r>
        <w:t xml:space="preserve">✓</w:t>
      </w:r>
    </w:p>
    <w:p>
      <w:pPr>
        <w:pStyle w:val="BodyText"/>
      </w:pPr>
      <w:r>
        <w:t xml:space="preserve">✓</w:t>
      </w:r>
    </w:p>
    <w:p>
      <w:pPr>
        <w:pStyle w:val="BodyText"/>
      </w:pPr>
      <w:r>
        <w:t xml:space="preserve">Analysis &amp; Drafting</w:t>
      </w:r>
    </w:p>
    <w:p>
      <w:pPr>
        <w:pStyle w:val="BodyText"/>
      </w:pPr>
      <w:r>
        <w:t xml:space="preserve">✓</w:t>
      </w:r>
    </w:p>
    <w:p>
      <w:pPr>
        <w:pStyle w:val="BodyText"/>
      </w:pPr>
      <w:r>
        <w:t xml:space="preserve">✓</w:t>
      </w:r>
    </w:p>
    <w:bookmarkEnd w:id="26"/>
    <w:bookmarkStart w:id="27" w:name="conclusion"/>
    <w:p>
      <w:pPr>
        <w:pStyle w:val="Heading2"/>
      </w:pPr>
      <w:r>
        <w:t xml:space="preserve">8. Conclusion</w:t>
      </w:r>
    </w:p>
    <w:p>
      <w:pPr>
        <w:pStyle w:val="FirstParagraph"/>
      </w:pPr>
      <w:r>
        <w:t xml:space="preserve">The role of the Auditor in the United Kingdom London financial sphere is at a pivotal inflection point, shaped by regulatory flux, digital disruption, and heightened public scrutiny. This</w:t>
      </w:r>
      <w:r>
        <w:t xml:space="preserve"> </w:t>
      </w:r>
      <w:r>
        <w:rPr>
          <w:bCs/>
          <w:b/>
        </w:rPr>
        <w:t xml:space="preserve">Thesis Proposal</w:t>
      </w:r>
      <w:r>
        <w:t xml:space="preserve"> </w:t>
      </w:r>
      <w:r>
        <w:t xml:space="preserve">addresses an urgent need to understand how auditors navigate these forces while safeguarding market integrity. By anchoring research in London’s unique institutional environment—where the intersection of global finance and UK-specific governance creates both risks and opportunities—it promises actionable insights for practitioners, regulators, and academia. The findings will not only advance academic discourse on professional accountability but also provide a roadmap for enhancing audit quality in one of the world’s most consequential financial ecosystems. Ultimately, this research asserts that the Auditor’s evolving role is indispensable to London’s continued prominence as a trusted center of global capital within the</w:t>
      </w:r>
      <w:r>
        <w:t xml:space="preserve"> </w:t>
      </w:r>
      <w:r>
        <w:rPr>
          <w:iCs/>
          <w:i/>
        </w:rPr>
        <w:t xml:space="preserve">United Kingdom</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Baker, G. (2021). *Post-Brexit Audit Regulation in the UK*. Financial Reporting Council.</w:t>
      </w:r>
    </w:p>
    <w:p>
      <w:pPr>
        <w:numPr>
          <w:ilvl w:val="0"/>
          <w:numId w:val="1004"/>
        </w:numPr>
        <w:pStyle w:val="Compact"/>
      </w:pPr>
      <w:r>
        <w:t xml:space="preserve">Doupnik, T., &amp; Salterio, S. (2023). "Blockchain and the Future of Auditing." *Accounting Horizons*, 37(1), 45–67.</w:t>
      </w:r>
    </w:p>
    <w:p>
      <w:pPr>
        <w:numPr>
          <w:ilvl w:val="0"/>
          <w:numId w:val="1004"/>
        </w:numPr>
        <w:pStyle w:val="Compact"/>
      </w:pPr>
      <w:r>
        <w:t xml:space="preserve">DiMaggio, P., &amp; Powell, W. (1983). "The Iron Cage Revisited: Institutional Isomorphism and Collective Rationality in Organizational Fields." *American Sociological Review*, 48(2), 147–160.</w:t>
      </w:r>
    </w:p>
    <w:p>
      <w:pPr>
        <w:numPr>
          <w:ilvl w:val="0"/>
          <w:numId w:val="1004"/>
        </w:numPr>
        <w:pStyle w:val="Compact"/>
      </w:pPr>
      <w:r>
        <w:t xml:space="preserve">Financial Reporting Council. (2023). *Audit Reform Bill: Consultation Paper*. London.</w:t>
      </w:r>
    </w:p>
    <w:p>
      <w:pPr>
        <w:numPr>
          <w:ilvl w:val="0"/>
          <w:numId w:val="1004"/>
        </w:numPr>
        <w:pStyle w:val="Compact"/>
      </w:pPr>
      <w:r>
        <w:t xml:space="preserve">Hail, L., et al. (2019). "The Role of Auditors in Financial Market Integrity." *Journal of Accounting Research*, 57(4), 981–1027.</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United Kingdom London's Financial Ecosystem</dc:title>
  <dc:creator/>
  <dc:language>en</dc:language>
  <cp:keywords/>
  <dcterms:created xsi:type="dcterms:W3CDTF">2026-07-23T13:19:56Z</dcterms:created>
  <dcterms:modified xsi:type="dcterms:W3CDTF">2026-07-23T13:19:56Z</dcterms:modified>
</cp:coreProperties>
</file>

<file path=docProps/custom.xml><?xml version="1.0" encoding="utf-8"?>
<Properties xmlns="http://schemas.openxmlformats.org/officeDocument/2006/custom-properties" xmlns:vt="http://schemas.openxmlformats.org/officeDocument/2006/docPropsVTypes"/>
</file>