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Evolving</w:t>
      </w:r>
      <w:r>
        <w:t xml:space="preserve"> </w:t>
      </w:r>
      <w:r>
        <w:t xml:space="preserve">Economic</w:t>
      </w:r>
      <w:r>
        <w:t xml:space="preserve"> </w:t>
      </w:r>
      <w:r>
        <w:t xml:space="preserve">Landscape</w:t>
      </w:r>
    </w:p>
    <w:bookmarkStart w:id="20" w:name="X0da8dd96405e66726ed1787553dc3a1c266c6ea"/>
    <w:p>
      <w:pPr>
        <w:pStyle w:val="Heading1"/>
      </w:pPr>
      <w:r>
        <w:t xml:space="preserve">Thesis Proposal: Strengthening Auditor Integrity and Regulatory Compliance within United Kingdom Manchester's Dynamic Business Environment</w:t>
      </w:r>
    </w:p>
    <w:p>
      <w:pPr>
        <w:pStyle w:val="FirstParagraph"/>
      </w:pPr>
      <w:r>
        <w:rPr>
          <w:bCs/>
          <w:b/>
        </w:rPr>
        <w:t xml:space="preserve">Introduction and Context:</w:t>
      </w:r>
    </w:p>
    <w:p>
      <w:pPr>
        <w:pStyle w:val="BodyText"/>
      </w:pPr>
      <w:r>
        <w:t xml:space="preserve">The role of the</w:t>
      </w:r>
      <w:r>
        <w:t xml:space="preserve"> </w:t>
      </w:r>
      <w:r>
        <w:rPr>
          <w:iCs/>
          <w:i/>
        </w:rPr>
        <w:t xml:space="preserve">Auditor</w:t>
      </w:r>
      <w:r>
        <w:t xml:space="preserve"> </w:t>
      </w:r>
      <w:r>
        <w:t xml:space="preserve">has never been more critical in the United Kingdom, particularly within the rapidly transforming economic hub of Manchester. As a city spearheading post-industrial regeneration, Manchester hosts over 35,000 businesses across diverse sectors including digital technology, creative industries, healthcare, and manufacturing. This vibrant ecosystem demands robust financial oversight to maintain investor confidence and ensure sustainable growth. However, recent high-profile cases involving corporate governance failures within Greater Manchester – such as the 2019 collapse of a major local construction firm and subsequent audit scrutiny – underscore significant gaps in current auditing practices. This</w:t>
      </w:r>
      <w:r>
        <w:t xml:space="preserve"> </w:t>
      </w:r>
      <w:r>
        <w:rPr>
          <w:bCs/>
          <w:b/>
        </w:rPr>
        <w:t xml:space="preserve">Thesis Proposal</w:t>
      </w:r>
      <w:r>
        <w:t xml:space="preserve"> </w:t>
      </w:r>
      <w:r>
        <w:t xml:space="preserve">directly addresses these challenges by examining the specific pressures, regulatory adaptations, and ethical responsibilities confronting modern</w:t>
      </w:r>
      <w:r>
        <w:t xml:space="preserve"> </w:t>
      </w:r>
      <w:r>
        <w:rPr>
          <w:iCs/>
          <w:i/>
        </w:rPr>
        <w:t xml:space="preserve">Auditor</w:t>
      </w:r>
      <w:r>
        <w:t xml:space="preserve">s operating within the unique context of the United Kingdom Manchester region.</w:t>
      </w:r>
    </w:p>
    <w:p>
      <w:pPr>
        <w:pStyle w:val="BodyText"/>
      </w:pPr>
      <w:r>
        <w:rPr>
          <w:bCs/>
          <w:b/>
        </w:rPr>
        <w:t xml:space="preserve">Problem Statement and Research Gap:</w:t>
      </w:r>
    </w:p>
    <w:p>
      <w:pPr>
        <w:pStyle w:val="BodyText"/>
      </w:pPr>
      <w:r>
        <w:t xml:space="preserve">While international auditing standards (such as ISA 200) provide a universal framework, their implementation faces distinct hurdles in Manchester's local business environment. The city’s high concentration of SMEs (Small and Medium Enterprises), many operating on tight margins with limited internal controls, creates a complex audit landscape often misunderstood by standardised approaches. Furthermore, the evolving regulatory framework post-Brexit – including the UK Audit Reform Bill 2023 and heightened Financial Reporting Council (FRC) scrutiny – necessitates a localised understanding of compliance challenges not fully captured in existing academic literature focused on London-centric models. Crucially, there is a significant dearth of empirical research specifically analysing how</w:t>
      </w:r>
      <w:r>
        <w:t xml:space="preserve"> </w:t>
      </w:r>
      <w:r>
        <w:rPr>
          <w:iCs/>
          <w:i/>
        </w:rPr>
        <w:t xml:space="preserve">Auditor</w:t>
      </w:r>
      <w:r>
        <w:t xml:space="preserve"> </w:t>
      </w:r>
      <w:r>
        <w:t xml:space="preserve">practices adapt to Manchester's unique economic mix, cultural business norms, and regional regulatory nuances within the broader United Kingdom context. This gap hinders the development of targeted professional training and effective local policy interventions.</w:t>
      </w:r>
    </w:p>
    <w:p>
      <w:pPr>
        <w:pStyle w:val="BodyText"/>
      </w:pPr>
      <w:r>
        <w:rPr>
          <w:bCs/>
          <w:b/>
        </w:rPr>
        <w:t xml:space="preserve">Research Objectives:</w:t>
      </w:r>
    </w:p>
    <w:p>
      <w:pPr>
        <w:pStyle w:val="BodyText"/>
      </w:pPr>
      <w:r>
        <w:t xml:space="preserve">This study aims to establish a comprehensive understanding of auditor effectiveness in United Kingdom Manchester by achieving the following specific objectives:</w:t>
      </w:r>
    </w:p>
    <w:p>
      <w:pPr>
        <w:numPr>
          <w:ilvl w:val="0"/>
          <w:numId w:val="1001"/>
        </w:numPr>
        <w:pStyle w:val="Compact"/>
      </w:pPr>
      <w:r>
        <w:t xml:space="preserve">To map the prevailing regulatory challenges faced by external</w:t>
      </w:r>
      <w:r>
        <w:t xml:space="preserve"> </w:t>
      </w:r>
      <w:r>
        <w:rPr>
          <w:iCs/>
          <w:i/>
        </w:rPr>
        <w:t xml:space="preserve">Auditor</w:t>
      </w:r>
      <w:r>
        <w:t xml:space="preserve">s when auditing SMEs within Greater Manchester, comparing them against national standards.</w:t>
      </w:r>
    </w:p>
    <w:p>
      <w:pPr>
        <w:numPr>
          <w:ilvl w:val="0"/>
          <w:numId w:val="1001"/>
        </w:numPr>
        <w:pStyle w:val="Compact"/>
      </w:pPr>
      <w:r>
        <w:t xml:space="preserve">To evaluate the impact of post-Brexit UK regulatory changes (e.g., FRC guidance, Audit Reform Bill) on audit quality and risk assessment practices specifically in Manchester-based firms.</w:t>
      </w:r>
    </w:p>
    <w:p>
      <w:pPr>
        <w:numPr>
          <w:ilvl w:val="0"/>
          <w:numId w:val="1001"/>
        </w:numPr>
        <w:pStyle w:val="Compact"/>
      </w:pPr>
      <w:r>
        <w:t xml:space="preserve">To assess the perceived ethical dilemmas and professional pressures encountered by auditors operating within Manchester's distinct business culture, including relationships with local authority bodies like Manchester City Council.</w:t>
      </w:r>
    </w:p>
    <w:p>
      <w:pPr>
        <w:numPr>
          <w:ilvl w:val="0"/>
          <w:numId w:val="1001"/>
        </w:numPr>
        <w:pStyle w:val="Compact"/>
      </w:pPr>
      <w:r>
        <w:t xml:space="preserve">To develop a practical framework for enhancing auditor accountability and competence tailored to the economic realities of United Kingdom Manchester, contributing actionable insights for both practitioners and regulators.</w:t>
      </w:r>
    </w:p>
    <w:p>
      <w:pPr>
        <w:pStyle w:val="FirstParagraph"/>
      </w:pPr>
      <w:r>
        <w:rPr>
          <w:bCs/>
          <w:b/>
        </w:rPr>
        <w:t xml:space="preserve">Methodology:</w:t>
      </w:r>
    </w:p>
    <w:p>
      <w:pPr>
        <w:pStyle w:val="BodyText"/>
      </w:pPr>
      <w:r>
        <w:t xml:space="preserve">This mixed-methods research will employ a triangulated approach, ensuring robustness within the Manchester context:</w:t>
      </w:r>
    </w:p>
    <w:p>
      <w:pPr>
        <w:numPr>
          <w:ilvl w:val="0"/>
          <w:numId w:val="1002"/>
        </w:numPr>
        <w:pStyle w:val="Compact"/>
      </w:pPr>
      <w:r>
        <w:rPr>
          <w:iCs/>
          <w:i/>
        </w:rPr>
        <w:t xml:space="preserve">Quantitative Analysis:</w:t>
      </w:r>
      <w:r>
        <w:t xml:space="preserve"> </w:t>
      </w:r>
      <w:r>
        <w:t xml:space="preserve">A structured survey distributed to 150+ Chartered Accountants (ACA/ACCA) based in Manchester, focusing on audit risk identification processes, regulatory compliance challenges, and perceived resource constraints. Data will be analysed for statistical trends using SPSS.</w:t>
      </w:r>
    </w:p>
    <w:p>
      <w:pPr>
        <w:numPr>
          <w:ilvl w:val="0"/>
          <w:numId w:val="1002"/>
        </w:numPr>
        <w:pStyle w:val="Compact"/>
      </w:pPr>
      <w:r>
        <w:rPr>
          <w:iCs/>
          <w:i/>
        </w:rPr>
        <w:t xml:space="preserve">Qualitative Investigation:</w:t>
      </w:r>
      <w:r>
        <w:t xml:space="preserve"> </w:t>
      </w:r>
      <w:r>
        <w:t xml:space="preserve">Semi-structured interviews with 25 key stakeholders: senior auditors from firms like PwC Manchester and EY Manchester; SME owners/managers across diverse sectors (e.g., manufacturing in Trafford, tech startups in the Northern Quarter); and representatives from the FRC regional office based in Manchester. Thematic analysis will identify recurring challenges and adaptive strategies.</w:t>
      </w:r>
    </w:p>
    <w:p>
      <w:pPr>
        <w:numPr>
          <w:ilvl w:val="0"/>
          <w:numId w:val="1002"/>
        </w:numPr>
        <w:pStyle w:val="Compact"/>
      </w:pPr>
      <w:r>
        <w:rPr>
          <w:iCs/>
          <w:i/>
        </w:rPr>
        <w:t xml:space="preserve">Case Study Analysis:</w:t>
      </w:r>
      <w:r>
        <w:t xml:space="preserve"> </w:t>
      </w:r>
      <w:r>
        <w:t xml:space="preserve">In-depth examination of 3-5 recent high-profile audits within Greater Manchester (e.g., a local healthcare trust, a major retail chain, an infrastructure project) to dissect decision-making processes under specific regional pressures.</w:t>
      </w:r>
    </w:p>
    <w:p>
      <w:pPr>
        <w:pStyle w:val="FirstParagraph"/>
      </w:pPr>
      <w:r>
        <w:rPr>
          <w:bCs/>
          <w:b/>
        </w:rPr>
        <w:t xml:space="preserve">Sources of Data and Ethical Considerations:</w:t>
      </w:r>
    </w:p>
    <w:p>
      <w:pPr>
        <w:pStyle w:val="BodyText"/>
      </w:pPr>
      <w:r>
        <w:t xml:space="preserve">Data will be sourced primarily from Manchester-based professionals through institutional partnerships with the Association of Chartered Certified Accountants (ACCA Manchester Chapter), the Institute of Chartered Accountants in England and Wales (ICAEW) Greater Manchester branch, and local business associations like Manchester Chamber of Commerce. All participants will provide informed consent, ensuring anonymity where requested. Ethical approval will be sought from the University of Manchester Faculty of Business &amp; Social Sciences Ethics Committee, adhering strictly to GDPR regulations prevalent across the United Kingdom.</w:t>
      </w:r>
    </w:p>
    <w:p>
      <w:pPr>
        <w:pStyle w:val="BodyText"/>
      </w:pPr>
      <w:r>
        <w:rPr>
          <w:bCs/>
          <w:b/>
        </w:rPr>
        <w:t xml:space="preserve">Expected Contribution and Significance:</w:t>
      </w:r>
    </w:p>
    <w:p>
      <w:pPr>
        <w:pStyle w:val="BodyText"/>
      </w:pPr>
      <w:r>
        <w:t xml:space="preserve">This</w:t>
      </w:r>
      <w:r>
        <w:t xml:space="preserve"> </w:t>
      </w:r>
      <w:r>
        <w:rPr>
          <w:bCs/>
          <w:b/>
        </w:rPr>
        <w:t xml:space="preserve">Thesis Proposal</w:t>
      </w:r>
      <w:r>
        <w:t xml:space="preserve"> </w:t>
      </w:r>
      <w:r>
        <w:t xml:space="preserve">promises significant contributions to academic knowledge and practical application within the United Kingdom Manchester landscape. Academically, it will fill a critical void by providing the first comprehensive empirical study of auditor dynamics in a major UK regional economy outside London, enriching literature on 'regional audit variation'. Practically, the research outputs – including a validated framework for context-specific auditing and targeted training recommendations – will be directly presented to key stakeholders: the FRC (UK), ACCA (Manchester), and Manchester City Council's Finance Committee. This ensures findings can immediately inform local professional development initiatives, enhance audit quality for Manchester SMEs, and strengthen the city’s reputation as a forward-thinking business destination within the United Kingdom.</w:t>
      </w:r>
    </w:p>
    <w:p>
      <w:pPr>
        <w:pStyle w:val="BodyText"/>
      </w:pPr>
      <w:r>
        <w:rPr>
          <w:bCs/>
          <w:b/>
        </w:rPr>
        <w:t xml:space="preserve">Timeline:</w:t>
      </w:r>
    </w:p>
    <w:p>
      <w:pPr>
        <w:numPr>
          <w:ilvl w:val="0"/>
          <w:numId w:val="1003"/>
        </w:numPr>
        <w:pStyle w:val="Compact"/>
      </w:pPr>
      <w:r>
        <w:rPr>
          <w:iCs/>
          <w:i/>
        </w:rPr>
        <w:t xml:space="preserve">Months 1-3:</w:t>
      </w:r>
      <w:r>
        <w:t xml:space="preserve"> </w:t>
      </w:r>
      <w:r>
        <w:t xml:space="preserve">Finalise research design; secure ethical approvals; initiate survey distribution via local professional networks.</w:t>
      </w:r>
    </w:p>
    <w:p>
      <w:pPr>
        <w:numPr>
          <w:ilvl w:val="0"/>
          <w:numId w:val="1003"/>
        </w:numPr>
        <w:pStyle w:val="Compact"/>
      </w:pPr>
      <w:r>
        <w:rPr>
          <w:iCs/>
          <w:i/>
        </w:rPr>
        <w:t xml:space="preserve">Months 4-6:</w:t>
      </w:r>
      <w:r>
        <w:t xml:space="preserve"> </w:t>
      </w:r>
      <w:r>
        <w:t xml:space="preserve">Conduct interviews and case study analysis; begin quantitative data processing.</w:t>
      </w:r>
    </w:p>
    <w:p>
      <w:pPr>
        <w:numPr>
          <w:ilvl w:val="0"/>
          <w:numId w:val="1003"/>
        </w:numPr>
        <w:pStyle w:val="Compact"/>
      </w:pPr>
      <w:r>
        <w:rPr>
          <w:iCs/>
          <w:i/>
        </w:rPr>
        <w:t xml:space="preserve">Months 7-9:</w:t>
      </w:r>
      <w:r>
        <w:t xml:space="preserve"> </w:t>
      </w:r>
      <w:r>
        <w:t xml:space="preserve">Complete data analysis; draft core findings and framework development.</w:t>
      </w:r>
    </w:p>
    <w:p>
      <w:pPr>
        <w:numPr>
          <w:ilvl w:val="0"/>
          <w:numId w:val="1003"/>
        </w:numPr>
        <w:pStyle w:val="Compact"/>
      </w:pPr>
      <w:r>
        <w:rPr>
          <w:iCs/>
          <w:i/>
        </w:rPr>
        <w:t xml:space="preserve">Months 10-12:</w:t>
      </w:r>
      <w:r>
        <w:t xml:space="preserve"> </w:t>
      </w:r>
      <w:r>
        <w:t xml:space="preserve">Finalise thesis writing; disseminate preliminary findings to Manchester stakeholders (FRC, ACCA); submit completed thesis.</w:t>
      </w:r>
    </w:p>
    <w:p>
      <w:pPr>
        <w:pStyle w:val="FirstParagraph"/>
      </w:pPr>
      <w:r>
        <w:rPr>
          <w:bCs/>
          <w:b/>
        </w:rPr>
        <w:t xml:space="preserve">Conclusion:</w:t>
      </w:r>
    </w:p>
    <w:p>
      <w:pPr>
        <w:pStyle w:val="BodyText"/>
      </w:pPr>
      <w:r>
        <w:t xml:space="preserve">In an era demanding greater transparency and accountability, the role of the</w:t>
      </w:r>
      <w:r>
        <w:t xml:space="preserve"> </w:t>
      </w:r>
      <w:r>
        <w:rPr>
          <w:iCs/>
          <w:i/>
        </w:rPr>
        <w:t xml:space="preserve">Auditor</w:t>
      </w:r>
      <w:r>
        <w:t xml:space="preserve"> </w:t>
      </w:r>
      <w:r>
        <w:t xml:space="preserve">in safeguarding financial integrity is paramount. This</w:t>
      </w:r>
      <w:r>
        <w:t xml:space="preserve"> </w:t>
      </w:r>
      <w:r>
        <w:rPr>
          <w:bCs/>
          <w:b/>
        </w:rPr>
        <w:t xml:space="preserve">Thesis Proposal</w:t>
      </w:r>
      <w:r>
        <w:t xml:space="preserve"> </w:t>
      </w:r>
      <w:r>
        <w:t xml:space="preserve">positions Manchester as a critical case study within the United Kingdom, where economic dynamism and regulatory transition create a fertile ground for researching how auditing adapts to real-world complexity. By focusing explicitly on the local context of Manchester – its businesses, regulators, and evolving standards – this research moves beyond generic frameworks to deliver actionable intelligence. The findings will empower auditors operating within United Kingdom Manchester with enhanced tools for ethical practice, provide policymakers with evidence-based insights for regional regulation, and ultimately contribute to a more resilient and trustworthy financial ecosystem in one of Britain’s most important cities. This work is not merely academic; it is a vital step towards securing Manchester's economic future through robust financial oversight.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United Kingdom Manchester's Evolving Economic Landscape</dc:title>
  <dc:creator/>
  <dc:language>en</dc:language>
  <cp:keywords/>
  <dcterms:created xsi:type="dcterms:W3CDTF">2026-07-23T01:27:09Z</dcterms:created>
  <dcterms:modified xsi:type="dcterms:W3CDTF">2026-07-23T01:27:09Z</dcterms:modified>
</cp:coreProperties>
</file>

<file path=docProps/custom.xml><?xml version="1.0" encoding="utf-8"?>
<Properties xmlns="http://schemas.openxmlformats.org/officeDocument/2006/custom-properties" xmlns:vt="http://schemas.openxmlformats.org/officeDocument/2006/docPropsVTypes"/>
</file>