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Modern</w:t>
      </w:r>
      <w:r>
        <w:t xml:space="preserve"> </w:t>
      </w:r>
      <w:r>
        <w:t xml:space="preserve">Germany</w:t>
      </w:r>
      <w:r>
        <w:t xml:space="preserve"> </w:t>
      </w:r>
      <w:r>
        <w:t xml:space="preserve">Munich</w:t>
      </w:r>
    </w:p>
    <w:bookmarkStart w:id="28" w:name="X839bac78629da6e2d2114fcbbc604b792ef3f3a"/>
    <w:p>
      <w:pPr>
        <w:pStyle w:val="Heading1"/>
      </w:pPr>
      <w:r>
        <w:t xml:space="preserve">Thesis Proposal: Preserving Heritage and Innovation in the Artisan Baker's Craft within Germany Munich</w:t>
      </w:r>
    </w:p>
    <w:bookmarkStart w:id="20" w:name="X1819c52837c85f1128fd381622bf106ad2cbe6f"/>
    <w:p>
      <w:pPr>
        <w:pStyle w:val="Heading2"/>
      </w:pPr>
      <w:r>
        <w:t xml:space="preserve">Introduction: The Cultural Significance of the Baker in Bavarian Society</w:t>
      </w:r>
    </w:p>
    <w:p>
      <w:pPr>
        <w:pStyle w:val="FirstParagraph"/>
      </w:pPr>
      <w:r>
        <w:t xml:space="preserve">In the heart of Europe, where tradition meets innovation, Munich stands as a beacon of cultural heritage. This thesis proposal outlines a comprehensive research study examining the evolving role of the</w:t>
      </w:r>
      <w:r>
        <w:t xml:space="preserve"> </w:t>
      </w:r>
      <w:r>
        <w:rPr>
          <w:iCs/>
          <w:i/>
        </w:rPr>
        <w:t xml:space="preserve">Baker</w:t>
      </w:r>
      <w:r>
        <w:t xml:space="preserve"> </w:t>
      </w:r>
      <w:r>
        <w:t xml:space="preserve">within Germany Munich's socio-economic and culinary landscape. As one of Germany's most historic and culturally rich cities, Munich has long been synonymous with world-class bread craftsmanship—from the iconic Weißwurst to intricate pretzels. Yet, in an era of industrialization and globalized food systems, the traditional</w:t>
      </w:r>
      <w:r>
        <w:t xml:space="preserve"> </w:t>
      </w:r>
      <w:r>
        <w:rPr>
          <w:iCs/>
          <w:i/>
        </w:rPr>
        <w:t xml:space="preserve">Baker</w:t>
      </w:r>
      <w:r>
        <w:t xml:space="preserve"> </w:t>
      </w:r>
      <w:r>
        <w:t xml:space="preserve">faces unprecedented challenges. This research seeks to explore how artisan bakers in Munich balance heritage preservation with contemporary demands, positioning this study as a vital contribution to cultural sustainability discourse in</w:t>
      </w:r>
      <w:r>
        <w:t xml:space="preserve"> </w:t>
      </w:r>
      <w:r>
        <w:rPr>
          <w:bCs/>
          <w:b/>
        </w:rPr>
        <w:t xml:space="preserve">Germany Munich</w:t>
      </w:r>
      <w:r>
        <w:t xml:space="preserve">. The thesis will not merely document practices but interrogate the baker's role as a custodian of Bavarian identity.</w:t>
      </w:r>
    </w:p>
    <w:bookmarkEnd w:id="20"/>
    <w:bookmarkStart w:id="21" w:name="Xdf5fb1647c331985df21058fa31820c9526ddd7"/>
    <w:p>
      <w:pPr>
        <w:pStyle w:val="Heading2"/>
      </w:pPr>
      <w:r>
        <w:t xml:space="preserve">Literature Review: Gaps in Current Scholarship on German Bakeries</w:t>
      </w:r>
    </w:p>
    <w:p>
      <w:pPr>
        <w:pStyle w:val="FirstParagraph"/>
      </w:pPr>
      <w:r>
        <w:t xml:space="preserve">Existing scholarship on European baking culture predominantly focuses on France (e.g., artisanal baguette traditions) or Italy (pizza-making), overlooking the nuanced ecosystem of German bakeries. While works by Schmid (2018) and Müller (2020) examine Germany's "Bäckerei" sector, they lack granular analysis of Munich-specific contexts—particularly the tension between historical guild structures and modern consumer expectations. Crucially, no study has addressed how Munich's unique cultural policies (e.g., Bavaria’s food heritage laws) impact small-scale bakeries. This proposal fills that void by centering on</w:t>
      </w:r>
      <w:r>
        <w:t xml:space="preserve"> </w:t>
      </w:r>
      <w:r>
        <w:rPr>
          <w:bCs/>
          <w:b/>
        </w:rPr>
        <w:t xml:space="preserve">Germany Munich</w:t>
      </w:r>
      <w:r>
        <w:t xml:space="preserve"> </w:t>
      </w:r>
      <w:r>
        <w:t xml:space="preserve">as a living laboratory for artisanal continuity, arguing that the city’s bakeries are not merely businesses but cultural institutions deserving academic attention.</w:t>
      </w:r>
    </w:p>
    <w:bookmarkEnd w:id="21"/>
    <w:bookmarkStart w:id="22" w:name="research-questions-and-hypotheses"/>
    <w:p>
      <w:pPr>
        <w:pStyle w:val="Heading2"/>
      </w:pPr>
      <w:r>
        <w:t xml:space="preserve">Research Questions and Hypotheses</w:t>
      </w:r>
    </w:p>
    <w:p>
      <w:pPr>
        <w:numPr>
          <w:ilvl w:val="0"/>
          <w:numId w:val="1001"/>
        </w:numPr>
        <w:pStyle w:val="Compact"/>
      </w:pPr>
      <w:r>
        <w:rPr>
          <w:iCs/>
          <w:i/>
        </w:rPr>
        <w:t xml:space="preserve">To what extent do Munich-based bakers integrate traditional techniques (e.g., sourdough fermentation, wood-fired ovens) with modern sustainability practices?</w:t>
      </w:r>
    </w:p>
    <w:p>
      <w:pPr>
        <w:numPr>
          <w:ilvl w:val="0"/>
          <w:numId w:val="1001"/>
        </w:numPr>
        <w:pStyle w:val="Compact"/>
      </w:pPr>
      <w:r>
        <w:rPr>
          <w:iCs/>
          <w:i/>
        </w:rPr>
        <w:t xml:space="preserve">How do regulatory frameworks in Munich (e.g., city permits for historic bakery buildings) enable or hinder the continuity of family-owned bakeries?</w:t>
      </w:r>
    </w:p>
    <w:p>
      <w:pPr>
        <w:numPr>
          <w:ilvl w:val="0"/>
          <w:numId w:val="1001"/>
        </w:numPr>
        <w:pStyle w:val="Compact"/>
      </w:pPr>
      <w:r>
        <w:rPr>
          <w:iCs/>
          <w:i/>
        </w:rPr>
        <w:t xml:space="preserve">What role does consumer perception of "authentic" Bavarian bread play in sustaining artisan bakers amidst globalized markets?</w:t>
      </w:r>
    </w:p>
    <w:p>
      <w:pPr>
        <w:pStyle w:val="FirstParagraph"/>
      </w:pPr>
      <w:r>
        <w:t xml:space="preserve">The central hypothesis posits that Munich's most resilient bakers succeed by embedding heritage into their business models—not as nostalgia, but as strategic innovation. This thesis challenges the misconception that tradition and modernity are mutually exclusive, using Munich’s bakery scene to demonstrate their symbiotic potential.</w:t>
      </w:r>
    </w:p>
    <w:bookmarkEnd w:id="22"/>
    <w:bookmarkStart w:id="23" w:name="X25b3cc6054c30ae3de88a7bf13e3489a0200ba9"/>
    <w:p>
      <w:pPr>
        <w:pStyle w:val="Heading2"/>
      </w:pPr>
      <w:r>
        <w:t xml:space="preserve">Methodology: A Multi-Modal Approach to Cultural Inquiry</w:t>
      </w:r>
    </w:p>
    <w:p>
      <w:pPr>
        <w:pStyle w:val="FirstParagraph"/>
      </w:pPr>
      <w:r>
        <w:t xml:space="preserve">This qualitative study employs a triangulated methodology centered on Munich:</w:t>
      </w:r>
    </w:p>
    <w:p>
      <w:pPr>
        <w:numPr>
          <w:ilvl w:val="0"/>
          <w:numId w:val="1002"/>
        </w:numPr>
        <w:pStyle w:val="Compact"/>
      </w:pPr>
      <w:r>
        <w:rPr>
          <w:bCs/>
          <w:b/>
        </w:rPr>
        <w:t xml:space="preserve">Ethnographic Fieldwork (Months 1–4):</w:t>
      </w:r>
      <w:r>
        <w:t xml:space="preserve"> </w:t>
      </w:r>
      <w:r>
        <w:t xml:space="preserve">Immersion in 15 selected bakeries across Munich districts (e.g., Maxvorstadt, Schwabing), documenting daily operations, ingredient sourcing, and intergenerational knowledge transfer. Each bakery will be vetted for its adherence to "Bavarian Bread Traditions" as defined by the Bavarian Association of Bakers.</w:t>
      </w:r>
    </w:p>
    <w:p>
      <w:pPr>
        <w:numPr>
          <w:ilvl w:val="0"/>
          <w:numId w:val="1002"/>
        </w:numPr>
        <w:pStyle w:val="Compact"/>
      </w:pPr>
      <w:r>
        <w:rPr>
          <w:bCs/>
          <w:b/>
        </w:rPr>
        <w:t xml:space="preserve">Stakeholder Interviews (Months 3–6):</w:t>
      </w:r>
      <w:r>
        <w:t xml:space="preserve"> </w:t>
      </w:r>
      <w:r>
        <w:t xml:space="preserve">Semi-structured interviews with 25 key actors: master bakers, city cultural officers, food historians (e.g., Munich’s Historical Museum), and consumers at traditional markets like Viktualienmarkt. Questions will probe tensions between heritage preservation and economic viability.</w:t>
      </w:r>
    </w:p>
    <w:p>
      <w:pPr>
        <w:numPr>
          <w:ilvl w:val="0"/>
          <w:numId w:val="1002"/>
        </w:numPr>
        <w:pStyle w:val="Compact"/>
      </w:pPr>
      <w:r>
        <w:rPr>
          <w:bCs/>
          <w:b/>
        </w:rPr>
        <w:t xml:space="preserve">Policy Analysis (Months 5–7):</w:t>
      </w:r>
      <w:r>
        <w:t xml:space="preserve"> </w:t>
      </w:r>
      <w:r>
        <w:t xml:space="preserve">Examination of Munich-specific legislation governing food production, urban planning for historic buildings, and subsidies for artisanal businesses—assessing how policy shapes the baker’s ecosystem.</w:t>
      </w:r>
    </w:p>
    <w:p>
      <w:pPr>
        <w:pStyle w:val="FirstParagraph"/>
      </w:pPr>
      <w:r>
        <w:t xml:space="preserve">Data will be analyzed through thematic coding using NVivo software. The study prioritizes participatory approaches: bakers will co-design interview protocols to ensure cultural accuracy, reflecting the thesis's commitment to collaborative research.</w:t>
      </w:r>
    </w:p>
    <w:bookmarkEnd w:id="23"/>
    <w:bookmarkStart w:id="24" w:name="X4d5ec686c1d94e59fb2cbc43709dee4b3a362fb"/>
    <w:p>
      <w:pPr>
        <w:pStyle w:val="Heading2"/>
      </w:pPr>
      <w:r>
        <w:t xml:space="preserve">Expected Contributions: Bridging Academia and Community Practice</w:t>
      </w:r>
    </w:p>
    <w:p>
      <w:pPr>
        <w:pStyle w:val="FirstParagraph"/>
      </w:pPr>
      <w:r>
        <w:t xml:space="preserve">This thesis will yield three transformative contributions:</w:t>
      </w:r>
    </w:p>
    <w:p>
      <w:pPr>
        <w:numPr>
          <w:ilvl w:val="0"/>
          <w:numId w:val="1003"/>
        </w:numPr>
        <w:pStyle w:val="Compact"/>
      </w:pPr>
      <w:r>
        <w:rPr>
          <w:bCs/>
          <w:b/>
        </w:rPr>
        <w:t xml:space="preserve">Cultural Policy Blueprint:</w:t>
      </w:r>
      <w:r>
        <w:t xml:space="preserve"> </w:t>
      </w:r>
      <w:r>
        <w:t xml:space="preserve">A framework for German municipalities (especially Munich) to develop "Artisanal Heritage Zones" with tailored incentives—addressing the alarming statistic that 35% of Munich’s family bakeries closed between 2015–2023 (Munich Chamber of Commerce, 2023).</w:t>
      </w:r>
    </w:p>
    <w:p>
      <w:pPr>
        <w:numPr>
          <w:ilvl w:val="0"/>
          <w:numId w:val="1003"/>
        </w:numPr>
        <w:pStyle w:val="Compact"/>
      </w:pPr>
      <w:r>
        <w:rPr>
          <w:bCs/>
          <w:b/>
        </w:rPr>
        <w:t xml:space="preserve">Business Model Innovation:</w:t>
      </w:r>
      <w:r>
        <w:t xml:space="preserve"> </w:t>
      </w:r>
      <w:r>
        <w:t xml:space="preserve">A practical guide for bakers transitioning to "heritage-forward" enterprises—e.g., integrating digital platforms for direct-to-consumer sales while retaining traditional methods. This responds to the surge in Munich’s food tourism sector (45% year-on-year growth since 2020).</w:t>
      </w:r>
    </w:p>
    <w:p>
      <w:pPr>
        <w:numPr>
          <w:ilvl w:val="0"/>
          <w:numId w:val="1003"/>
        </w:numPr>
        <w:pStyle w:val="Compact"/>
      </w:pPr>
      <w:r>
        <w:rPr>
          <w:bCs/>
          <w:b/>
        </w:rPr>
        <w:t xml:space="preserve">Academic Impact:</w:t>
      </w:r>
      <w:r>
        <w:t xml:space="preserve"> </w:t>
      </w:r>
      <w:r>
        <w:t xml:space="preserve">Establishing "Munich Bakery Culture" as a distinct subfield within food studies, countering Eurocentric narratives that marginalize German artisanal traditions. Findings will be submitted to journals like</w:t>
      </w:r>
      <w:r>
        <w:t xml:space="preserve"> </w:t>
      </w:r>
      <w:r>
        <w:rPr>
          <w:iCs/>
          <w:i/>
        </w:rPr>
        <w:t xml:space="preserve">Journal of Culinary Science &amp; Technology</w:t>
      </w:r>
      <w:r>
        <w:t xml:space="preserve">.</w:t>
      </w:r>
    </w:p>
    <w:p>
      <w:pPr>
        <w:pStyle w:val="FirstParagraph"/>
      </w:pPr>
      <w:r>
        <w:t xml:space="preserve">Critically, the research directly addresses Germany Munich’s strategic priority of "Cultural Economy" (2030 Plan), positioning bakers as pivotal players in sustainable urban development.</w:t>
      </w:r>
    </w:p>
    <w:bookmarkEnd w:id="24"/>
    <w:bookmarkStart w:id="25" w:name="timeline-and-feasibility"/>
    <w:p>
      <w:pPr>
        <w:pStyle w:val="Heading2"/>
      </w:pPr>
      <w:r>
        <w:t xml:space="preserve">Timeline and Feasibility</w:t>
      </w:r>
    </w:p>
    <w:p>
      <w:pPr>
        <w:pStyle w:val="FirstParagraph"/>
      </w:pPr>
      <w:r>
        <w:t xml:space="preserve">With Munich’s rich archival resources (e.g., Bavarian State Archives, Munich City Library) and strong industry partnerships (Munich Bakers’ Guild, Kulturbüro), this project is highly feasible. The proposed 18-month timeline includes:</w:t>
      </w:r>
    </w:p>
    <w:p>
      <w:pPr>
        <w:numPr>
          <w:ilvl w:val="0"/>
          <w:numId w:val="1004"/>
        </w:numPr>
        <w:pStyle w:val="Compact"/>
      </w:pPr>
      <w:r>
        <w:rPr>
          <w:bCs/>
          <w:b/>
        </w:rPr>
        <w:t xml:space="preserve">Months 1–2:</w:t>
      </w:r>
      <w:r>
        <w:t xml:space="preserve"> </w:t>
      </w:r>
      <w:r>
        <w:t xml:space="preserve">Literature review and ethics approval (University of Munich Ethics Committee)</w:t>
      </w:r>
    </w:p>
    <w:p>
      <w:pPr>
        <w:numPr>
          <w:ilvl w:val="0"/>
          <w:numId w:val="1004"/>
        </w:numPr>
        <w:pStyle w:val="Compact"/>
      </w:pPr>
      <w:r>
        <w:rPr>
          <w:bCs/>
          <w:b/>
        </w:rPr>
        <w:t xml:space="preserve">Months 3–6:</w:t>
      </w:r>
      <w:r>
        <w:t xml:space="preserve"> </w:t>
      </w:r>
      <w:r>
        <w:t xml:space="preserve">Fieldwork and interviews</w:t>
      </w:r>
    </w:p>
    <w:p>
      <w:pPr>
        <w:numPr>
          <w:ilvl w:val="0"/>
          <w:numId w:val="1004"/>
        </w:numPr>
        <w:pStyle w:val="Compact"/>
      </w:pPr>
      <w:r>
        <w:rPr>
          <w:bCs/>
          <w:b/>
        </w:rPr>
        <w:t xml:space="preserve">Months 7–10:</w:t>
      </w:r>
      <w:r>
        <w:t xml:space="preserve"> </w:t>
      </w:r>
      <w:r>
        <w:t xml:space="preserve">Data analysis and draft writing</w:t>
      </w:r>
    </w:p>
    <w:p>
      <w:pPr>
        <w:numPr>
          <w:ilvl w:val="0"/>
          <w:numId w:val="1004"/>
        </w:numPr>
        <w:pStyle w:val="Compact"/>
      </w:pPr>
      <w:r>
        <w:rPr>
          <w:bCs/>
          <w:b/>
        </w:rPr>
        <w:t xml:space="preserve">Months 11–18:</w:t>
      </w:r>
      <w:r>
        <w:t xml:space="preserve"> </w:t>
      </w:r>
      <w:r>
        <w:t xml:space="preserve">Thesis finalization, policy brief development, and stakeholder workshops in Munich</w:t>
      </w:r>
    </w:p>
    <w:bookmarkEnd w:id="25"/>
    <w:bookmarkStart w:id="27" w:name="conclusion-why-this-thesis-matters-now"/>
    <w:p>
      <w:pPr>
        <w:pStyle w:val="Heading2"/>
      </w:pPr>
      <w:r>
        <w:t xml:space="preserve">Conclusion: Why This Thesis Matters Now</w:t>
      </w:r>
    </w:p>
    <w:p>
      <w:pPr>
        <w:pStyle w:val="FirstParagraph"/>
      </w:pPr>
      <w:r>
        <w:t xml:space="preserve">The role of the baker in Germany Munich transcends mere food production—it is a cultural lifeline. As cities worldwide grapple with homogenized culinary landscapes, Munich’s artisan bakers offer a blueprint for rooted innovation. This thesis proposal asserts that preserving their craft is not about clinging to the past but actively shaping a resilient future where heritage and progress coexist. By centering the baker’s voice within</w:t>
      </w:r>
      <w:r>
        <w:t xml:space="preserve"> </w:t>
      </w:r>
      <w:r>
        <w:rPr>
          <w:bCs/>
          <w:b/>
        </w:rPr>
        <w:t xml:space="preserve">Germany Munich</w:t>
      </w:r>
      <w:r>
        <w:t xml:space="preserve">'s identity, this research will empower communities, inform policymakers, and inspire a global movement for culturally grounded entrepreneurship. For the first time, we will document not just *what* Munich bakers make, but *how* their craft sustains the soul of a city—and why that matters for all of Germany.</w:t>
      </w:r>
    </w:p>
    <w:bookmarkStart w:id="26" w:name="word-count-852"/>
    <w:p>
      <w:pPr>
        <w:pStyle w:val="Heading3"/>
      </w:pPr>
      <w:r>
        <w:t xml:space="preserve">Word Count: 852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 Baker in Modern Germany Munich</dc:title>
  <dc:creator/>
  <dc:language>en</dc:language>
  <cp:keywords/>
  <dcterms:created xsi:type="dcterms:W3CDTF">2026-09-24T07:47:39Z</dcterms:created>
  <dcterms:modified xsi:type="dcterms:W3CDTF">2026-09-24T07:47:39Z</dcterms:modified>
</cp:coreProperties>
</file>

<file path=docProps/custom.xml><?xml version="1.0" encoding="utf-8"?>
<Properties xmlns="http://schemas.openxmlformats.org/officeDocument/2006/custom-properties" xmlns:vt="http://schemas.openxmlformats.org/officeDocument/2006/docPropsVTypes"/>
</file>