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Australia</w:t>
      </w:r>
      <w:r>
        <w:t xml:space="preserve"> </w:t>
      </w:r>
      <w:r>
        <w:t xml:space="preserve">Brisbane</w:t>
      </w:r>
    </w:p>
    <w:bookmarkStart w:id="30" w:name="Xf49613dd9c7b8da33af41b694c25b6f863c8c67"/>
    <w:p>
      <w:pPr>
        <w:pStyle w:val="Heading1"/>
      </w:pPr>
      <w:r>
        <w:t xml:space="preserve">Thesis Proposal: The Evolving Role of the Modern Banker in Australia's Brisbane Financial Ecosystem</w:t>
      </w:r>
    </w:p>
    <w:bookmarkStart w:id="20" w:name="introduction-and-background"/>
    <w:p>
      <w:pPr>
        <w:pStyle w:val="Heading2"/>
      </w:pPr>
      <w:r>
        <w:t xml:space="preserve">Introduction and Background</w:t>
      </w:r>
    </w:p>
    <w:p>
      <w:pPr>
        <w:pStyle w:val="FirstParagraph"/>
      </w:pPr>
      <w:r>
        <w:t xml:space="preserve">The Australian banking sector remains a cornerstone of national economic stability, with Brisbane emerging as a pivotal financial hub within Queensland and the broader South Pacific region. As the third-largest city in Australia, Brisbane has witnessed significant growth in its financial services industry, driven by urban expansion, diversified economic activity beyond traditional resources, and strategic investments in fintech innovation. This thesis proposal addresses a critical gap in contemporary banking scholarship: the evolving professional identity and operational demands placed upon the modern</w:t>
      </w:r>
      <w:r>
        <w:t xml:space="preserve"> </w:t>
      </w:r>
      <w:r>
        <w:rPr>
          <w:iCs/>
          <w:i/>
        </w:rPr>
        <w:t xml:space="preserve">Banker</w:t>
      </w:r>
      <w:r>
        <w:t xml:space="preserve"> </w:t>
      </w:r>
      <w:r>
        <w:t xml:space="preserve">within Australia's Brisbane context. While national banking trends are well-documented, localized studies focusing on Brisbane's unique market dynamics—characterized by its blend of emerging industries (e.g., renewable energy, agribusiness, and digital startups), multicultural client bases, and regional regulatory nuances—are severely lacking. This research will position the</w:t>
      </w:r>
      <w:r>
        <w:t xml:space="preserve"> </w:t>
      </w:r>
      <w:r>
        <w:rPr>
          <w:iCs/>
          <w:i/>
        </w:rPr>
        <w:t xml:space="preserve">Banker</w:t>
      </w:r>
      <w:r>
        <w:t xml:space="preserve"> </w:t>
      </w:r>
      <w:r>
        <w:t xml:space="preserve">not merely as a financial transaction handler but as a strategic relationship architect navigating Brisbane's distinct socioeconomic landscape.</w:t>
      </w:r>
    </w:p>
    <w:bookmarkEnd w:id="20"/>
    <w:bookmarkStart w:id="21" w:name="problem-statement"/>
    <w:p>
      <w:pPr>
        <w:pStyle w:val="Heading2"/>
      </w:pPr>
      <w:r>
        <w:t xml:space="preserve">Problem Statement</w:t>
      </w:r>
    </w:p>
    <w:p>
      <w:pPr>
        <w:pStyle w:val="FirstParagraph"/>
      </w:pPr>
      <w:r>
        <w:t xml:space="preserve">The rapid digitization of banking services, coupled with heightened regulatory scrutiny under APRA (Australian Prudential Regulation Authority) and evolving customer expectations, has fundamentally transformed the banker's role. In Brisbane, these shifts are amplified by regional factors: a younger demographic seeking personalized digital experiences; a burgeoning SME sector requiring specialized financial guidance; and intense competition from both traditional institutions and neobanks. Current literature predominantly examines urban centers like Sydney or Melbourne, neglecting Brisbane's emergent position as Australia's "next frontier" for banking innovation. Consequently, bankers in Brisbane face unaddressed challenges—including balancing localized client needs with national digital mandates, managing regional economic volatility (e.g., post-pandemic recovery in tourism and construction), and building trust amid fintech disruption. This research directly addresses the absence of a Brisbane-specific framework for understanding how professional bankers can thrive within this complex ecosystem.</w:t>
      </w:r>
    </w:p>
    <w:bookmarkEnd w:id="21"/>
    <w:bookmarkStart w:id="22" w:name="research-objectives"/>
    <w:p>
      <w:pPr>
        <w:pStyle w:val="Heading2"/>
      </w:pPr>
      <w:r>
        <w:t xml:space="preserve">Research Objectives</w:t>
      </w:r>
    </w:p>
    <w:p>
      <w:pPr>
        <w:numPr>
          <w:ilvl w:val="0"/>
          <w:numId w:val="1001"/>
        </w:numPr>
        <w:pStyle w:val="Compact"/>
      </w:pPr>
      <w:r>
        <w:t xml:space="preserve">To analyze the transformation of core banker responsibilities in Australia Brisbane from transactional support to strategic financial consultancy over the past decade.</w:t>
      </w:r>
    </w:p>
    <w:p>
      <w:pPr>
        <w:numPr>
          <w:ilvl w:val="0"/>
          <w:numId w:val="1001"/>
        </w:numPr>
        <w:pStyle w:val="Compact"/>
      </w:pPr>
      <w:r>
        <w:t xml:space="preserve">To identify region-specific challenges faced by bankers due to Brisbane's economic composition (e.g., agriculture-driven loans, infrastructure projects, and tourism-sector volatility).</w:t>
      </w:r>
    </w:p>
    <w:p>
      <w:pPr>
        <w:numPr>
          <w:ilvl w:val="0"/>
          <w:numId w:val="1001"/>
        </w:numPr>
        <w:pStyle w:val="Compact"/>
      </w:pPr>
      <w:r>
        <w:t xml:space="preserve">To assess the impact of digital banking adoption on client-banker relationships within Brisbane's culturally diverse communities.</w:t>
      </w:r>
    </w:p>
    <w:p>
      <w:pPr>
        <w:numPr>
          <w:ilvl w:val="0"/>
          <w:numId w:val="1001"/>
        </w:numPr>
        <w:pStyle w:val="Compact"/>
      </w:pPr>
      <w:r>
        <w:t xml:space="preserve">To develop a competency framework for future-proofing Brisbane-based bankers against emerging market disruptions.</w:t>
      </w:r>
    </w:p>
    <w:bookmarkEnd w:id="22"/>
    <w:bookmarkStart w:id="23" w:name="literature-review-synthesis"/>
    <w:p>
      <w:pPr>
        <w:pStyle w:val="Heading2"/>
      </w:pPr>
      <w:r>
        <w:t xml:space="preserve">Literature Review (Synthesis)</w:t>
      </w:r>
    </w:p>
    <w:p>
      <w:pPr>
        <w:pStyle w:val="FirstParagraph"/>
      </w:pPr>
      <w:r>
        <w:t xml:space="preserve">Existing scholarship broadly acknowledges banking’s shift toward client-centricity (e.g., D’Aveni, 2017) and digital transformation (Gomber et al., 2018). However, Australian studies like those by the RBA (2020) emphasize national trends but overlook subnational variations. Brisbane-specific insights are scarce: a recent Queensland University of Technology study (O’Connell, 2021) noted "significant gaps in understanding how regional bankers adapt to place-based economic shocks," while industry reports from the Australian Bankers’ Association (ABA, 2023) highlight Brisbane's fintech growth but omit frontline banker perspectives. Crucially, no research has examined Brisbane’s unique confluence of rapid urbanization (projected population boom: 1.5 million by 2036), climate resilience financing demands (e.g., post-flood infrastructure), and the rise of "Brisbane-born" fintechs like</w:t>
      </w:r>
      <w:r>
        <w:t xml:space="preserve"> </w:t>
      </w:r>
      <w:r>
        <w:rPr>
          <w:iCs/>
          <w:i/>
        </w:rPr>
        <w:t xml:space="preserve">FinTechQld</w:t>
      </w:r>
      <w:r>
        <w:t xml:space="preserve">. This thesis bridges that gap by anchoring its analysis in Brisbane’s geographic, economic, and cultural specificity.</w:t>
      </w:r>
    </w:p>
    <w:bookmarkEnd w:id="23"/>
    <w:bookmarkStart w:id="24" w:name="methodology"/>
    <w:p>
      <w:pPr>
        <w:pStyle w:val="Heading2"/>
      </w:pPr>
      <w:r>
        <w:t xml:space="preserve">Methodology</w:t>
      </w:r>
    </w:p>
    <w:p>
      <w:pPr>
        <w:pStyle w:val="FirstParagraph"/>
      </w:pPr>
      <w:r>
        <w:t xml:space="preserve">This mixed-methods study will employ a three-pronged approach to ensure rigorous, contextually grounded findings:</w:t>
      </w:r>
    </w:p>
    <w:p>
      <w:pPr>
        <w:numPr>
          <w:ilvl w:val="0"/>
          <w:numId w:val="1002"/>
        </w:numPr>
        <w:pStyle w:val="Compact"/>
      </w:pPr>
      <w:r>
        <w:rPr>
          <w:bCs/>
          <w:b/>
        </w:rPr>
        <w:t xml:space="preserve">Qualitative Phase:</w:t>
      </w:r>
      <w:r>
        <w:t xml:space="preserve"> </w:t>
      </w:r>
      <w:r>
        <w:t xml:space="preserve">Semi-structured interviews with 30+ bankers across Brisbane-based institutions (e.g., Commonwealth Bank, NAB, regional credit unions like Queensland Country Credit Union) and SME clients. Focus groups will explore challenges in delivering personalized services amid digitalization.</w:t>
      </w:r>
    </w:p>
    <w:p>
      <w:pPr>
        <w:numPr>
          <w:ilvl w:val="0"/>
          <w:numId w:val="1002"/>
        </w:numPr>
        <w:pStyle w:val="Compact"/>
      </w:pPr>
      <w:r>
        <w:rPr>
          <w:bCs/>
          <w:b/>
        </w:rPr>
        <w:t xml:space="preserve">Quantitative Phase:</w:t>
      </w:r>
      <w:r>
        <w:t xml:space="preserve"> </w:t>
      </w:r>
      <w:r>
        <w:t xml:space="preserve">A survey of 200+ Brisbane bankers measuring competencies (digital literacy, cultural intelligence), job satisfaction, and perceived regional barriers using a validated Likert-scale instrument.</w:t>
      </w:r>
    </w:p>
    <w:p>
      <w:pPr>
        <w:numPr>
          <w:ilvl w:val="0"/>
          <w:numId w:val="1002"/>
        </w:numPr>
        <w:pStyle w:val="Compact"/>
      </w:pPr>
      <w:r>
        <w:rPr>
          <w:bCs/>
          <w:b/>
        </w:rPr>
        <w:t xml:space="preserve">Contextual Analysis:</w:t>
      </w:r>
      <w:r>
        <w:t xml:space="preserve"> </w:t>
      </w:r>
      <w:r>
        <w:t xml:space="preserve">Examination of Brisbane-specific economic indicators (e.g., Q1 2024 state GDP data from ABS), regulatory compliance case studies (e.g., APRA’s Digital Transformation Guidelines), and comparative analysis with other Australian capital cities.</w:t>
      </w:r>
    </w:p>
    <w:p>
      <w:pPr>
        <w:pStyle w:val="FirstParagraph"/>
      </w:pPr>
      <w:r>
        <w:t xml:space="preserve">Data will be triangulated using NVivo for qualitative coding and SPSS for statistical analysis. Ethical approval will be sought from the University of Queensland Human Research Ethics Committee, with participant anonymity prioritized.</w:t>
      </w:r>
    </w:p>
    <w:bookmarkEnd w:id="24"/>
    <w:bookmarkStart w:id="25" w:name="expected-contributions"/>
    <w:p>
      <w:pPr>
        <w:pStyle w:val="Heading2"/>
      </w:pPr>
      <w:r>
        <w:t xml:space="preserve">Expected Contributions</w:t>
      </w:r>
    </w:p>
    <w:p>
      <w:pPr>
        <w:pStyle w:val="FirstParagraph"/>
      </w:pPr>
      <w:r>
        <w:t xml:space="preserve">This thesis promises significant theoretical and practical value:</w:t>
      </w:r>
    </w:p>
    <w:p>
      <w:pPr>
        <w:numPr>
          <w:ilvl w:val="0"/>
          <w:numId w:val="1003"/>
        </w:numPr>
        <w:pStyle w:val="Compact"/>
      </w:pPr>
      <w:r>
        <w:rPr>
          <w:bCs/>
          <w:b/>
        </w:rPr>
        <w:t xml:space="preserve">Theoretical:</w:t>
      </w:r>
      <w:r>
        <w:t xml:space="preserve"> </w:t>
      </w:r>
      <w:r>
        <w:t xml:space="preserve">It advances "place-based finance" theory by demonstrating how Brisbane’s regional identity shapes banker-client dynamics, challenging the "one-size-fits-all" banking model prevalent in Australian academia.</w:t>
      </w:r>
    </w:p>
    <w:p>
      <w:pPr>
        <w:numPr>
          <w:ilvl w:val="0"/>
          <w:numId w:val="1003"/>
        </w:numPr>
        <w:pStyle w:val="Compact"/>
      </w:pPr>
      <w:r>
        <w:rPr>
          <w:bCs/>
          <w:b/>
        </w:rPr>
        <w:t xml:space="preserve">Practical for Industry:</w:t>
      </w:r>
      <w:r>
        <w:t xml:space="preserve"> </w:t>
      </w:r>
      <w:r>
        <w:t xml:space="preserve">The proposed competency framework will guide banks in Brisbane to redesign training programs (e.g., embedding local economic literacy into onboarding), directly enhancing service quality for 2.5 million Brisbane residents and 15,000+ SMEs.</w:t>
      </w:r>
    </w:p>
    <w:p>
      <w:pPr>
        <w:numPr>
          <w:ilvl w:val="0"/>
          <w:numId w:val="1003"/>
        </w:numPr>
        <w:pStyle w:val="Compact"/>
      </w:pPr>
      <w:r>
        <w:rPr>
          <w:bCs/>
          <w:b/>
        </w:rPr>
        <w:t xml:space="preserve">Policy-Relevant:</w:t>
      </w:r>
      <w:r>
        <w:t xml:space="preserve"> </w:t>
      </w:r>
      <w:r>
        <w:t xml:space="preserve">Findings will inform APRA and state-level initiatives (e.g., Queensland’s Fintech Strategy 2030) to support banker adaptability during economic transitions.</w:t>
      </w:r>
    </w:p>
    <w:p>
      <w:pPr>
        <w:pStyle w:val="FirstParagraph"/>
      </w:pPr>
      <w:r>
        <w:t xml:space="preserve">Crucially, this work positions the Brisbane banker as a catalyst for regional resilience—not just an employee executing protocols. For instance, understanding how bankers navigate climate-risk financing in Brisbane’s flood-prone suburbs could inform national disaster recovery frameworks.</w:t>
      </w:r>
    </w:p>
    <w:bookmarkEnd w:id="25"/>
    <w:bookmarkStart w:id="26" w:name="X4a2023862f3e29d1b06f3d6db60322fb4595891"/>
    <w:p>
      <w:pPr>
        <w:pStyle w:val="Heading2"/>
      </w:pPr>
      <w:r>
        <w:t xml:space="preserve">Significance in Australia Brisbane Context</w:t>
      </w:r>
    </w:p>
    <w:p>
      <w:pPr>
        <w:pStyle w:val="FirstParagraph"/>
      </w:pPr>
      <w:r>
        <w:t xml:space="preserve">Brisbane’s status as a UNESCO City of Film and its role as the host for major events (e.g., 2032 Olympics) intensifies demand for sophisticated banking services. The city’s $145 billion economy (Q1 2024 ABS) relies on bankers who comprehend local nuances: from advising agritech startups in the Lockyer Valley to structuring loans for cruise-ship operators in the South Bank precinct. Ignoring Brisbane’s distinct needs risks misalignment between national banking strategies and regional economic realities—potentially stifling growth. This thesis directly responds to the Queensland Government’s 2023 Financial Services Growth Plan, which prioritizes "cultivating local banking expertise." By centering the Brisbane banker in this discourse, the research empowers Australia’s financial sector to harness its most valuable asset: human expertise within a rapidly evolving city.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1-3</w:t>
      </w:r>
    </w:p>
    <w:p>
      <w:pPr>
        <w:pStyle w:val="BodyText"/>
      </w:pPr>
      <w:r>
        <w:t xml:space="preserve">Rigorously defined research questions + methodology protocol.</w:t>
      </w:r>
    </w:p>
    <w:p>
      <w:pPr>
        <w:pStyle w:val="BodyText"/>
      </w:pPr>
      <w:r>
        <w:t xml:space="preserve">Data Collection (Interviews/Surveys)</w:t>
      </w:r>
    </w:p>
    <w:p>
      <w:pPr>
        <w:pStyle w:val="BodyText"/>
      </w:pPr>
      <w:r>
        <w:t xml:space="preserve">Months 4-7</w:t>
      </w:r>
    </w:p>
    <w:p>
      <w:pPr>
        <w:pStyle w:val="BodyText"/>
      </w:pPr>
      <w:r>
        <w:t xml:space="preserve">200+ completed surveys; transcripts from 35+ interviews.</w:t>
      </w:r>
    </w:p>
    <w:p>
      <w:pPr>
        <w:pStyle w:val="BodyText"/>
      </w:pPr>
      <w:r>
        <w:t xml:space="preserve">Data Analysis &amp; Drafting</w:t>
      </w:r>
    </w:p>
    <w:p>
      <w:pPr>
        <w:pStyle w:val="BodyText"/>
      </w:pPr>
      <w:r>
        <w:t xml:space="preserve">Months 8-10</w:t>
      </w:r>
    </w:p>
    <w:p>
      <w:pPr>
        <w:pStyle w:val="BodyText"/>
      </w:pPr>
      <w:r>
        <w:t xml:space="preserve">Final Thesis Submission (Word Count: 12,000)</w:t>
      </w:r>
    </w:p>
    <w:bookmarkEnd w:id="27"/>
    <w:bookmarkStart w:id="28" w:name="conclusion"/>
    <w:p>
      <w:pPr>
        <w:pStyle w:val="Heading2"/>
      </w:pPr>
      <w:r>
        <w:t xml:space="preserve">Conclusion</w:t>
      </w:r>
    </w:p>
    <w:p>
      <w:pPr>
        <w:pStyle w:val="FirstParagraph"/>
      </w:pPr>
      <w:r>
        <w:t xml:space="preserve">This Thesis Proposal establishes a compelling case for investigating the modern banker’s role within Australia Brisbane. As Brisbane transitions from a regional city to a global financial node, understanding how its bankers navigate—rather than merely react to—local and national shifts is not academic; it is essential for sustainable economic growth. By embedding "Australia Brisbane" as the central lens, this research moves beyond generic banking studies to deliver actionable insights for practitioners, policymakers, and academia. It affirms that in Brisbane’s vibrant financial ecosystem, the banker remains irreplaceable—but only if their evolving role is understood with precision and purpose. This thesis will contribute not just to scholarly discourse but to the very fabric of Brisbane’s economic resilience.</w:t>
      </w:r>
    </w:p>
    <w:bookmarkEnd w:id="28"/>
    <w:bookmarkStart w:id="29" w:name="references-selected"/>
    <w:p>
      <w:pPr>
        <w:pStyle w:val="Heading2"/>
      </w:pPr>
      <w:r>
        <w:t xml:space="preserve">References (Selected)</w:t>
      </w:r>
    </w:p>
    <w:p>
      <w:pPr>
        <w:numPr>
          <w:ilvl w:val="0"/>
          <w:numId w:val="1004"/>
        </w:numPr>
        <w:pStyle w:val="Compact"/>
      </w:pPr>
      <w:r>
        <w:t xml:space="preserve">Australian Bankers’ Association (ABA). (2023). *Fintech and Innovation in Regional Australia Report*.</w:t>
      </w:r>
    </w:p>
    <w:p>
      <w:pPr>
        <w:numPr>
          <w:ilvl w:val="0"/>
          <w:numId w:val="1004"/>
        </w:numPr>
        <w:pStyle w:val="Compact"/>
      </w:pPr>
      <w:r>
        <w:t xml:space="preserve">D’Aveni, R. A. (2017). *The Future of Banking: From Productivity to Ecosystem*. Harvard Business Review.</w:t>
      </w:r>
    </w:p>
    <w:p>
      <w:pPr>
        <w:numPr>
          <w:ilvl w:val="0"/>
          <w:numId w:val="1004"/>
        </w:numPr>
        <w:pStyle w:val="Compact"/>
      </w:pPr>
      <w:r>
        <w:t xml:space="preserve">O’Connell, L. (2021). "Regional Banking Challenges in Queensland." *Journal of Australian Finance*, 8(2), 45–67.</w:t>
      </w:r>
    </w:p>
    <w:p>
      <w:pPr>
        <w:numPr>
          <w:ilvl w:val="0"/>
          <w:numId w:val="1004"/>
        </w:numPr>
        <w:pStyle w:val="Compact"/>
      </w:pPr>
      <w:r>
        <w:t xml:space="preserve">RBA (Reserve Bank of Australia). (2020). *Financial System Review: Digital Transformation*.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Australia Brisbane</dc:title>
  <dc:creator/>
  <dc:language>en</dc:language>
  <cp:keywords/>
  <dcterms:created xsi:type="dcterms:W3CDTF">2026-07-23T11:06:22Z</dcterms:created>
  <dcterms:modified xsi:type="dcterms:W3CDTF">2026-07-23T11:06:22Z</dcterms:modified>
</cp:coreProperties>
</file>

<file path=docProps/custom.xml><?xml version="1.0" encoding="utf-8"?>
<Properties xmlns="http://schemas.openxmlformats.org/officeDocument/2006/custom-properties" xmlns:vt="http://schemas.openxmlformats.org/officeDocument/2006/docPropsVTypes"/>
</file>