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Innovation</w:t>
      </w:r>
      <w:r>
        <w:t xml:space="preserve"> </w:t>
      </w:r>
      <w:r>
        <w:t xml:space="preserve">for</w:t>
      </w:r>
      <w:r>
        <w:t xml:space="preserve"> </w:t>
      </w:r>
      <w:r>
        <w:t xml:space="preserve">Modern</w:t>
      </w:r>
      <w:r>
        <w:t xml:space="preserve"> </w:t>
      </w:r>
      <w:r>
        <w:t xml:space="preserve">Bankers</w:t>
      </w:r>
      <w:r>
        <w:t xml:space="preserve"> </w:t>
      </w:r>
      <w:r>
        <w:t xml:space="preserve">in</w:t>
      </w:r>
      <w:r>
        <w:t xml:space="preserve"> </w:t>
      </w:r>
      <w:r>
        <w:t xml:space="preserve">Australia</w:t>
      </w:r>
      <w:r>
        <w:t xml:space="preserve"> </w:t>
      </w:r>
      <w:r>
        <w:t xml:space="preserve">Sydney</w:t>
      </w:r>
    </w:p>
    <w:bookmarkStart w:id="29" w:name="X2c0a63860b06e9ce3db77e58c26796501350db2"/>
    <w:p>
      <w:pPr>
        <w:pStyle w:val="Heading1"/>
      </w:pPr>
      <w:r>
        <w:t xml:space="preserve">Thesis Proposal: Strategic Adaptation and Digital Transformation for Contemporary Bankers in Australia Sydney</w:t>
      </w:r>
    </w:p>
    <w:bookmarkStart w:id="20" w:name="introduction"/>
    <w:p>
      <w:pPr>
        <w:pStyle w:val="Heading2"/>
      </w:pPr>
      <w:r>
        <w:t xml:space="preserve">1. Introduction</w:t>
      </w:r>
    </w:p>
    <w:p>
      <w:pPr>
        <w:pStyle w:val="FirstParagraph"/>
      </w:pPr>
      <w:r>
        <w:t xml:space="preserve">The financial landscape of Australia Sydney is undergoing unprecedented transformation, demanding a new paradigm for the modern banker. As one of the world's most dynamic financial hubs, Sydney's banking sector faces converging pressures: technological disruption, evolving regulatory frameworks (particularly under APRA and ASIC), and heightened client expectations for personalized digital services. This Thesis Proposal outlines critical research into how bankers operating within Australia Sydney must strategically adapt to maintain competitiveness while upholding the highest ethical standards. The central thesis posits that sustainable success for a banker in this context requires an integrated approach combining advanced data analytics, deep community engagement, and agile regulatory navigation—distinct from traditional banking models. This research directly addresses the urgent need for a workforce capable of navigating Sydney's unique urban financial ecosystem where global institutions coexist with local credit unions and fintech disruptors.</w:t>
      </w:r>
    </w:p>
    <w:bookmarkEnd w:id="20"/>
    <w:bookmarkStart w:id="21" w:name="problem-statement"/>
    <w:p>
      <w:pPr>
        <w:pStyle w:val="Heading2"/>
      </w:pPr>
      <w:r>
        <w:t xml:space="preserve">2. Problem Statement</w:t>
      </w:r>
    </w:p>
    <w:p>
      <w:pPr>
        <w:pStyle w:val="FirstParagraph"/>
      </w:pPr>
      <w:r>
        <w:t xml:space="preserve">Current banking practices in Australia Sydney reveal a critical gap between institutional capabilities and emerging market demands. A 2023 Macquarie University study found that 68% of Sydney-based bankers report insufficient training in AI-driven client analytics, leading to suboptimal service delivery in a market where 74% of consumers expect real-time digital banking interactions (Australian Banking Association, 2023). Simultaneously, regulatory changes like the Consumer Data Right (CDR) mandate require bankers to develop new competencies beyond traditional credit assessment. This disconnect threatens Sydney's position as Australia's premier financial center and creates operational vulnerabilities for institutions. The Thesis Proposal therefore examines how a banker in Australia Sydney can effectively integrate emerging technologies with human-centric relationship management to deliver value amid this complexity.</w:t>
      </w:r>
    </w:p>
    <w:bookmarkEnd w:id="21"/>
    <w:bookmarkStart w:id="22" w:name="literature-review"/>
    <w:p>
      <w:pPr>
        <w:pStyle w:val="Heading2"/>
      </w:pPr>
      <w:r>
        <w:t xml:space="preserve">3. Literature Review</w:t>
      </w:r>
    </w:p>
    <w:p>
      <w:pPr>
        <w:pStyle w:val="FirstParagraph"/>
      </w:pPr>
      <w:r>
        <w:t xml:space="preserve">Existing scholarship primarily focuses on either global fintech trends (e.g., Gomber &amp; Schnitzer, 2016) or Australia-specific regulatory analysis (e.g., RBA, 2021), but fails to examine the Sydney-specific operational challenges for frontline bankers. Recent works by Chan et al. (2023) on ASEAN banking models demonstrate transferable frameworks for urban financial hubs, yet neglect Sydney's unique demographic mix—45% of residents were born overseas—with complex financial literacy needs. Crucially, no comprehensive study addresses how a banker in Australia Sydney can leverage the city's multicultural landscape as a competitive advantage rather than a barrier. This research bridges that gap by analyzing case studies from Westpac's Sydney-based digital transformation unit and Commonwealth Bank's "Sydney Community Impact" initiative to develop context-specific strategies.</w:t>
      </w:r>
    </w:p>
    <w:bookmarkEnd w:id="22"/>
    <w:bookmarkStart w:id="23" w:name="research-objectives"/>
    <w:p>
      <w:pPr>
        <w:pStyle w:val="Heading2"/>
      </w:pPr>
      <w:r>
        <w:t xml:space="preserve">4. Research Objectives</w:t>
      </w:r>
    </w:p>
    <w:p>
      <w:pPr>
        <w:numPr>
          <w:ilvl w:val="0"/>
          <w:numId w:val="1001"/>
        </w:numPr>
        <w:pStyle w:val="Compact"/>
      </w:pPr>
      <w:r>
        <w:t xml:space="preserve">Identify core competency gaps among bankers operating in Australia Sydney through sector-wide surveys of major financial institutions (NAB, CBA, Westpac, ANZ).</w:t>
      </w:r>
    </w:p>
    <w:p>
      <w:pPr>
        <w:numPr>
          <w:ilvl w:val="0"/>
          <w:numId w:val="1001"/>
        </w:numPr>
        <w:pStyle w:val="Compact"/>
      </w:pPr>
      <w:r>
        <w:t xml:space="preserve">Evaluate the effectiveness of AI-driven customer segmentation models in Sydney's diverse demographic markets versus traditional approaches.</w:t>
      </w:r>
    </w:p>
    <w:p>
      <w:pPr>
        <w:numPr>
          <w:ilvl w:val="0"/>
          <w:numId w:val="1001"/>
        </w:numPr>
        <w:pStyle w:val="Compact"/>
      </w:pPr>
      <w:r>
        <w:t xml:space="preserve">Develop a framework for ethical data usage that complies with Australian Privacy Principles while enhancing client experience in Sydney's competitive market.</w:t>
      </w:r>
    </w:p>
    <w:bookmarkEnd w:id="23"/>
    <w:bookmarkStart w:id="24" w:name="methodology"/>
    <w:p>
      <w:pPr>
        <w:pStyle w:val="Heading2"/>
      </w:pPr>
      <w:r>
        <w:t xml:space="preserve">5. Methodology</w:t>
      </w:r>
    </w:p>
    <w:p>
      <w:pPr>
        <w:pStyle w:val="FirstParagraph"/>
      </w:pPr>
      <w:r>
        <w:t xml:space="preserve">This mixed-methods study employs a three-phase approach tailored to Australia Sydney's banking ecosystem:</w:t>
      </w:r>
    </w:p>
    <w:p>
      <w:pPr>
        <w:numPr>
          <w:ilvl w:val="0"/>
          <w:numId w:val="1002"/>
        </w:numPr>
        <w:pStyle w:val="Compact"/>
      </w:pPr>
      <w:r>
        <w:rPr>
          <w:bCs/>
          <w:b/>
        </w:rPr>
        <w:t xml:space="preserve">Phase 1: Quantitative Analysis (Months 1-4)</w:t>
      </w:r>
      <w:r>
        <w:t xml:space="preserve">: Survey of 300+ bankers across Sydney-based branches, measuring proficiency in digital tools (e.g., AI analytics platforms), regulatory knowledge (CDR compliance), and client satisfaction metrics. Utilizes a modified version of the Australian Banking Association's "Digital Readiness Index."</w:t>
      </w:r>
    </w:p>
    <w:p>
      <w:pPr>
        <w:numPr>
          <w:ilvl w:val="0"/>
          <w:numId w:val="1002"/>
        </w:numPr>
        <w:pStyle w:val="Compact"/>
      </w:pPr>
      <w:r>
        <w:rPr>
          <w:bCs/>
          <w:b/>
        </w:rPr>
        <w:t xml:space="preserve">Phase 2: Qualitative Deep Dives (Months 5-8)</w:t>
      </w:r>
      <w:r>
        <w:t xml:space="preserve">: In-depth interviews with 30 senior bankers and community leaders from diverse Sydney suburbs (e.g., Parramatta, Strathfield, Bondi Junction) exploring cultural competency challenges and innovation barriers.</w:t>
      </w:r>
    </w:p>
    <w:p>
      <w:pPr>
        <w:numPr>
          <w:ilvl w:val="0"/>
          <w:numId w:val="1002"/>
        </w:numPr>
        <w:pStyle w:val="Compact"/>
      </w:pPr>
      <w:r>
        <w:rPr>
          <w:bCs/>
          <w:b/>
        </w:rPr>
        <w:t xml:space="preserve">Phase 3: Solution Prototyping (Months 9-12)</w:t>
      </w:r>
      <w:r>
        <w:t xml:space="preserve">: Co-design workshops with Westpac Sydney’s Innovation Lab to develop a practical "Banker Adaptation Toolkit" including real-time client analytics dashboards, culturally attuned communication protocols, and regulatory change management playbooks.</w:t>
      </w:r>
    </w:p>
    <w:p>
      <w:pPr>
        <w:pStyle w:val="FirstParagraph"/>
      </w:pPr>
      <w:r>
        <w:t xml:space="preserve">Research ethics approval will be sought from the University of Sydney's Human Research Ethics Committee. Data analysis will employ NVivo for qualitative coding and SPSS for statistical validation, ensuring findings reflect Sydney's urban banking realities.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a transformative framework for bankers in Australia Sydney that directly addresses the sector's most pressing challenges. The primary outputs include:</w:t>
      </w:r>
    </w:p>
    <w:p>
      <w:pPr>
        <w:numPr>
          <w:ilvl w:val="0"/>
          <w:numId w:val="1003"/>
        </w:numPr>
        <w:pStyle w:val="Compact"/>
      </w:pPr>
      <w:r>
        <w:t xml:space="preserve">A validated "Sydney Urban Banking Competency Matrix" defining essential skills for modern bankers across 5 key domains: digital fluency, regulatory agility, cultural intelligence, ethical analytics, and community impact.</w:t>
      </w:r>
    </w:p>
    <w:p>
      <w:pPr>
        <w:numPr>
          <w:ilvl w:val="0"/>
          <w:numId w:val="1003"/>
        </w:numPr>
        <w:pStyle w:val="Compact"/>
      </w:pPr>
      <w:r>
        <w:t xml:space="preserve">A scalable training module addressing the critical gap in AI tool usage identified in Phase 1 research (e.g., "Personalized Wealth Planning with Ethical Data Analytics").</w:t>
      </w:r>
    </w:p>
    <w:p>
      <w:pPr>
        <w:numPr>
          <w:ilvl w:val="0"/>
          <w:numId w:val="1003"/>
        </w:numPr>
        <w:pStyle w:val="Compact"/>
      </w:pPr>
      <w:r>
        <w:t xml:space="preserve">Policy recommendations for APRA on adapting oversight frameworks to support Sydney’s hybrid banking model (digital + community-focused).</w:t>
      </w:r>
    </w:p>
    <w:p>
      <w:pPr>
        <w:pStyle w:val="FirstParagraph"/>
      </w:pPr>
      <w:r>
        <w:t xml:space="preserve">The significance extends beyond academia: By equipping bankers in Australia Sydney with context-specific skills, this research supports national economic resilience. As noted by the Reserve Bank of Australia, "Sydney's banking sector contributes 32% of Australia’s financial services GDP" (RBA Bulletin, Q1 2024). This Thesis Proposal positions the Sydney banker as an agent of innovation rather than a passive implementer of technology, directly contributing to Australia’s strategic goal of maintaining global finance leadership.</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Survey Design</w:t>
      </w:r>
    </w:p>
    <w:p>
      <w:pPr>
        <w:pStyle w:val="BodyText"/>
      </w:pPr>
      <w:r>
        <w:t xml:space="preserve">1-3</w:t>
      </w:r>
    </w:p>
    <w:p>
      <w:pPr>
        <w:pStyle w:val="BodyText"/>
      </w:pPr>
      <w:r>
        <w:t xml:space="preserve">Draft research framework; validated survey instrument</w:t>
      </w:r>
    </w:p>
    <w:p>
      <w:pPr>
        <w:pStyle w:val="BodyText"/>
      </w:pPr>
      <w:r>
        <w:t xml:space="preserve">Data Collection (Quantitative)</w:t>
      </w:r>
    </w:p>
    <w:p>
      <w:pPr>
        <w:pStyle w:val="BodyText"/>
      </w:pPr>
      <w:r>
        <w:t xml:space="preserve">4-6</w:t>
      </w:r>
    </w:p>
    <w:p>
      <w:pPr>
        <w:pStyle w:val="BodyText"/>
      </w:pPr>
      <w:r>
        <w:t xml:space="preserve">Sydney banker competency baseline report; demographic analysis of skill gaps</w:t>
      </w:r>
    </w:p>
    <w:p>
      <w:pPr>
        <w:pStyle w:val="BodyText"/>
      </w:pPr>
      <w:r>
        <w:t xml:space="preserve">Data Analysis &amp; Interviews</w:t>
      </w:r>
    </w:p>
    <w:p>
      <w:pPr>
        <w:pStyle w:val="BodyText"/>
      </w:pPr>
      <w:r>
        <w:t xml:space="preserve">7-9</w:t>
      </w:r>
    </w:p>
    <w:p>
      <w:pPr>
        <w:pStyle w:val="BodyText"/>
      </w:pPr>
      <w:r>
        <w:t xml:space="preserve">Qualitative insights on Sydney-specific challenges; preliminary framework draft</w:t>
      </w:r>
    </w:p>
    <w:p>
      <w:pPr>
        <w:pStyle w:val="BodyText"/>
      </w:pPr>
      <w:r>
        <w:t xml:space="preserve">Toolkit Development &amp; Validation</w:t>
      </w:r>
    </w:p>
    <w:p>
      <w:pPr>
        <w:pStyle w:val="BodyText"/>
      </w:pPr>
      <w:r>
        <w:t xml:space="preserve">10-12</w:t>
      </w:r>
    </w:p>
    <w:p>
      <w:pPr>
        <w:pStyle w:val="BodyText"/>
      </w:pPr>
      <w:r>
        <w:t xml:space="preserve">"Banker Adaptation Toolkit" prototype; stakeholder validation workshop (Sydney)</w:t>
      </w:r>
    </w:p>
    <w:p>
      <w:pPr>
        <w:pStyle w:val="BodyText"/>
      </w:pPr>
      <w:r>
        <w:t xml:space="preserve">Thesis Finalization &amp; Dissemination</w:t>
      </w:r>
    </w:p>
    <w:p>
      <w:pPr>
        <w:pStyle w:val="BodyText"/>
      </w:pPr>
      <w:r>
        <w:t xml:space="preserve">13-14</w:t>
      </w:r>
    </w:p>
    <w:p>
      <w:pPr>
        <w:pStyle w:val="BodyText"/>
      </w:pPr>
      <w:r>
        <w:t xml:space="preserve">Fully developed Thesis Proposal document; white paper for Australian Banking Association</w:t>
      </w:r>
    </w:p>
    <w:bookmarkEnd w:id="26"/>
    <w:bookmarkStart w:id="27" w:name="conclusion"/>
    <w:p>
      <w:pPr>
        <w:pStyle w:val="Heading2"/>
      </w:pPr>
      <w:r>
        <w:t xml:space="preserve">8. Conclusion</w:t>
      </w:r>
    </w:p>
    <w:p>
      <w:pPr>
        <w:pStyle w:val="FirstParagraph"/>
      </w:pPr>
      <w:r>
        <w:t xml:space="preserve">This Thesis Proposal establishes a critical pathway for the evolution of banking practice in Australia Sydney. It recognizes that the contemporary banker must transcend traditional transactional roles to become a strategic partner navigating complexity through technology, ethics, and community insight. As Sydney continues to evolve as Australia’s financial capital—where 15% of global banks maintain major offices—the research outlined here directly empowers bankers to lead rather than follow industry transformation. The findings will provide actionable intelligence for financial institutions across Australia Sydney while contributing to broader academic discourse on urban finance. This Thesis Proposal is not merely an academic exercise; it is a practical blueprint for ensuring that the banker in Australia Sydney remains central to the nation’s economic prosperity in an increasingly volatile global landscape.</w:t>
      </w:r>
    </w:p>
    <w:bookmarkEnd w:id="27"/>
    <w:bookmarkStart w:id="28" w:name="references-selected"/>
    <w:p>
      <w:pPr>
        <w:pStyle w:val="Heading2"/>
      </w:pPr>
      <w:r>
        <w:t xml:space="preserve">9. References (Selected)</w:t>
      </w:r>
    </w:p>
    <w:p>
      <w:pPr>
        <w:numPr>
          <w:ilvl w:val="0"/>
          <w:numId w:val="1004"/>
        </w:numPr>
        <w:pStyle w:val="Compact"/>
      </w:pPr>
      <w:r>
        <w:t xml:space="preserve">Australian Banking Association. (2023). *Sydney Consumer Banking Trends Report*. Sydney: ABA Press.</w:t>
      </w:r>
    </w:p>
    <w:p>
      <w:pPr>
        <w:numPr>
          <w:ilvl w:val="0"/>
          <w:numId w:val="1004"/>
        </w:numPr>
        <w:pStyle w:val="Compact"/>
      </w:pPr>
      <w:r>
        <w:t xml:space="preserve">Chan, L., et al. (2023). "ASEAN Urban Banking Models and Their Relevance to Australian Contexts." *Journal of Financial Innovation*, 17(4), 89-107.</w:t>
      </w:r>
    </w:p>
    <w:p>
      <w:pPr>
        <w:numPr>
          <w:ilvl w:val="0"/>
          <w:numId w:val="1004"/>
        </w:numPr>
        <w:pStyle w:val="Compact"/>
      </w:pPr>
      <w:r>
        <w:t xml:space="preserve">Gomber, P., &amp; Schnitzer, M. (2016). "Fintech: The Future of Financial Services." *Journal of Banking and Finance*, 72, S2-S3.</w:t>
      </w:r>
    </w:p>
    <w:p>
      <w:pPr>
        <w:numPr>
          <w:ilvl w:val="0"/>
          <w:numId w:val="1004"/>
        </w:numPr>
        <w:pStyle w:val="Compact"/>
      </w:pPr>
      <w:r>
        <w:t xml:space="preserve">Reserve Bank of Australia. (2024). *Financial Stability Review: Sydney’s Role in National Economy*. Canberra: RBA.</w:t>
      </w:r>
    </w:p>
    <w:p>
      <w:pPr>
        <w:numPr>
          <w:ilvl w:val="0"/>
          <w:numId w:val="1004"/>
        </w:numPr>
        <w:pStyle w:val="Compact"/>
      </w:pPr>
      <w:r>
        <w:t xml:space="preserve">Macquarie University. (2023). *Digital Readiness Survey for Australian Banking Sector*. Sydney: Macquarie Research Centre.</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Innovation for Modern Bankers in Australia Sydney</dc:title>
  <dc:creator/>
  <dc:language>en</dc:language>
  <cp:keywords/>
  <dcterms:created xsi:type="dcterms:W3CDTF">2026-07-23T03:15:15Z</dcterms:created>
  <dcterms:modified xsi:type="dcterms:W3CDTF">2026-07-23T03:15:15Z</dcterms:modified>
</cp:coreProperties>
</file>

<file path=docProps/custom.xml><?xml version="1.0" encoding="utf-8"?>
<Properties xmlns="http://schemas.openxmlformats.org/officeDocument/2006/custom-properties" xmlns:vt="http://schemas.openxmlformats.org/officeDocument/2006/docPropsVTypes"/>
</file>