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Bangladesh</w:t>
      </w:r>
      <w:r>
        <w:t xml:space="preserve"> </w:t>
      </w:r>
      <w:r>
        <w:t xml:space="preserve">Dhaka's</w:t>
      </w:r>
      <w:r>
        <w:t xml:space="preserve"> </w:t>
      </w:r>
      <w:r>
        <w:t xml:space="preserve">Financial</w:t>
      </w:r>
      <w:r>
        <w:t xml:space="preserve"> </w:t>
      </w:r>
      <w:r>
        <w:t xml:space="preserve">Ecosystem</w:t>
      </w:r>
    </w:p>
    <w:bookmarkStart w:id="29" w:name="Xb52d2e7192609085e6357d579f51399fe3aaaeb"/>
    <w:p>
      <w:pPr>
        <w:pStyle w:val="Heading1"/>
      </w:pPr>
      <w:r>
        <w:t xml:space="preserve">Thesis Proposal: The Evolving Role of the Banker in Bangladesh Dhaka's Financial Ecosystem</w:t>
      </w:r>
    </w:p>
    <w:bookmarkStart w:id="20" w:name="introduction"/>
    <w:p>
      <w:pPr>
        <w:pStyle w:val="Heading2"/>
      </w:pPr>
      <w:r>
        <w:t xml:space="preserve">1. Introduction</w:t>
      </w:r>
    </w:p>
    <w:p>
      <w:pPr>
        <w:pStyle w:val="FirstParagraph"/>
      </w:pPr>
      <w:r>
        <w:t xml:space="preserve">The banking sector serves as the economic backbone of Bangladesh, with Dhaka functioning as its undisputed financial nerve center. As Bangladesh continues its journey toward upper-middle-income status, the role of the modern</w:t>
      </w:r>
      <w:r>
        <w:t xml:space="preserve"> </w:t>
      </w:r>
      <w:r>
        <w:rPr>
          <w:iCs/>
          <w:i/>
        </w:rPr>
        <w:t xml:space="preserve">Banker</w:t>
      </w:r>
      <w:r>
        <w:t xml:space="preserve"> </w:t>
      </w:r>
      <w:r>
        <w:t xml:space="preserve">has transcended traditional transactional duties to become a strategic catalyst for national development. This Thesis Proposal examines how contemporary</w:t>
      </w:r>
      <w:r>
        <w:t xml:space="preserve"> </w:t>
      </w:r>
      <w:r>
        <w:rPr>
          <w:iCs/>
          <w:i/>
        </w:rPr>
        <w:t xml:space="preserve">Banker</w:t>
      </w:r>
      <w:r>
        <w:t xml:space="preserve">s in Dhaka navigate complex regulatory landscapes, technological disruptions, and socio-economic challenges while driving financial inclusion across Bangladesh. Dhaka's unique position as the hub of 70% of Bangladesh's banking assets necessitates an urgent exploration of the evolving professional identity of the</w:t>
      </w:r>
      <w:r>
        <w:t xml:space="preserve"> </w:t>
      </w:r>
      <w:r>
        <w:rPr>
          <w:iCs/>
          <w:i/>
        </w:rPr>
        <w:t xml:space="preserve">Banker</w:t>
      </w:r>
      <w:r>
        <w:t xml:space="preserve"> </w:t>
      </w:r>
      <w:r>
        <w:t xml:space="preserve">in this critical context.</w:t>
      </w:r>
    </w:p>
    <w:bookmarkEnd w:id="20"/>
    <w:bookmarkStart w:id="21" w:name="problem-statement"/>
    <w:p>
      <w:pPr>
        <w:pStyle w:val="Heading2"/>
      </w:pPr>
      <w:r>
        <w:t xml:space="preserve">2. Problem Statement</w:t>
      </w:r>
    </w:p>
    <w:p>
      <w:pPr>
        <w:pStyle w:val="FirstParagraph"/>
      </w:pPr>
      <w:r>
        <w:t xml:space="preserve">Despite Bangladesh's impressive 6-7% annual GDP growth, a significant gap persists between theoretical banking frameworks and on-ground realities faced by frontline bankers in Dhaka. Current research fails to adequately address three interconnected challenges: (a) The regulatory burden imposed by Bangladesh Bank's evolving directives, (b) The digital divide affecting customer service delivery in Dhaka's diverse financial landscape, and (c) The scarcity of professional development frameworks tailored for Bangladeshi bankers. This gap creates inefficiencies where the</w:t>
      </w:r>
      <w:r>
        <w:t xml:space="preserve"> </w:t>
      </w:r>
      <w:r>
        <w:rPr>
          <w:iCs/>
          <w:i/>
        </w:rPr>
        <w:t xml:space="preserve">Banker</w:t>
      </w:r>
      <w:r>
        <w:t xml:space="preserve"> </w:t>
      </w:r>
      <w:r>
        <w:t xml:space="preserve">becomes a passive executor rather than an active agent of financial innovation. Without addressing these issues, Bangladesh's ambitious Vision 2041 goals—particularly financial inclusion targets—remain at risk in Dhaka, which serves as the critical testing ground for national banking strategies.</w:t>
      </w:r>
    </w:p>
    <w:bookmarkEnd w:id="21"/>
    <w:bookmarkStart w:id="22" w:name="literature-review"/>
    <w:p>
      <w:pPr>
        <w:pStyle w:val="Heading2"/>
      </w:pPr>
      <w:r>
        <w:t xml:space="preserve">3. Literature Review</w:t>
      </w:r>
    </w:p>
    <w:p>
      <w:pPr>
        <w:pStyle w:val="FirstParagraph"/>
      </w:pPr>
      <w:r>
        <w:t xml:space="preserve">Existing scholarship on Bangladeshi banking primarily focuses on macroeconomic indicators or digital payment systems (e.g., SanchayPost, bKash), neglecting the human element—the</w:t>
      </w:r>
      <w:r>
        <w:t xml:space="preserve"> </w:t>
      </w:r>
      <w:r>
        <w:rPr>
          <w:iCs/>
          <w:i/>
        </w:rPr>
        <w:t xml:space="preserve">Banker</w:t>
      </w:r>
      <w:r>
        <w:t xml:space="preserve">. While studies by Ahmed (2020) document fintech adoption rates, and Rahman &amp; Islam (2022) analyze rural branch networks, none comprehensively investigate how Dhaka-based bankers negotiate between traditional client relationships and digital transformation. International frameworks like the World Bank's Global Findex Database offer comparative data but ignore Bangladesh-specific cultural nuances in banking interactions. Crucially, no research bridges the gap between regulatory policy documents from Bangladesh Bank and the lived experience of</w:t>
      </w:r>
      <w:r>
        <w:t xml:space="preserve"> </w:t>
      </w:r>
      <w:r>
        <w:rPr>
          <w:iCs/>
          <w:i/>
        </w:rPr>
        <w:t xml:space="preserve">Banker</w:t>
      </w:r>
      <w:r>
        <w:t xml:space="preserve">s navigating these policies daily in Dhaka's high-density urban environment.</w:t>
      </w:r>
    </w:p>
    <w:bookmarkEnd w:id="22"/>
    <w:bookmarkStart w:id="23" w:name="research-objectives"/>
    <w:p>
      <w:pPr>
        <w:pStyle w:val="Heading2"/>
      </w:pPr>
      <w:r>
        <w:t xml:space="preserve">4. Research Objectives</w:t>
      </w:r>
    </w:p>
    <w:p>
      <w:pPr>
        <w:pStyle w:val="FirstParagraph"/>
      </w:pPr>
      <w:r>
        <w:t xml:space="preserve">This Thesis Proposal outlines four key objectives:</w:t>
      </w:r>
    </w:p>
    <w:p>
      <w:pPr>
        <w:numPr>
          <w:ilvl w:val="0"/>
          <w:numId w:val="1001"/>
        </w:numPr>
        <w:pStyle w:val="Compact"/>
      </w:pPr>
      <w:r>
        <w:t xml:space="preserve">To map the evolving skillset requirements of a modern banker in Dhaka through analysis of Bangladesh Bank directives and frontline job descriptions (2019-2023).</w:t>
      </w:r>
    </w:p>
    <w:p>
      <w:pPr>
        <w:numPr>
          <w:ilvl w:val="0"/>
          <w:numId w:val="1001"/>
        </w:numPr>
        <w:pStyle w:val="Compact"/>
      </w:pPr>
      <w:r>
        <w:t xml:space="preserve">To identify systemic barriers hindering effective customer service delivery by bankers across Dhaka's socio-economic strata.</w:t>
      </w:r>
    </w:p>
    <w:p>
      <w:pPr>
        <w:numPr>
          <w:ilvl w:val="0"/>
          <w:numId w:val="1001"/>
        </w:numPr>
        <w:pStyle w:val="Compact"/>
      </w:pPr>
      <w:r>
        <w:t xml:space="preserve">To develop a culturally contextualized professional development framework specifically for bankers in Bangladesh Dhaka.</w:t>
      </w:r>
    </w:p>
    <w:p>
      <w:pPr>
        <w:numPr>
          <w:ilvl w:val="0"/>
          <w:numId w:val="1001"/>
        </w:numPr>
        <w:pStyle w:val="Compact"/>
      </w:pPr>
      <w:r>
        <w:t xml:space="preserve">To propose evidence-based policy recommendations for Bangladesh Bank to empower bankers as agents of financial inclusion.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w:t>
      </w:r>
      <w:r>
        <w:t xml:space="preserve">Survey of 300 bankers (across 15 commercial banks) in Dhaka, measuring job satisfaction, skill utilization, and regulatory compliance challenges using Likert-scale instruments.</w:t>
      </w:r>
    </w:p>
    <w:p>
      <w:pPr>
        <w:numPr>
          <w:ilvl w:val="0"/>
          <w:numId w:val="1002"/>
        </w:numPr>
        <w:pStyle w:val="Compact"/>
      </w:pPr>
      <w:r>
        <w:rPr>
          <w:bCs/>
          <w:b/>
        </w:rPr>
        <w:t xml:space="preserve">Qualitative Phase:</w:t>
      </w:r>
      <w:r>
        <w:t xml:space="preserve"> </w:t>
      </w:r>
      <w:r>
        <w:t xml:space="preserve">In-depth interviews with 30 senior bankers and Bangladesh Bank officials; participant observation at 5 representative Dhaka branches (covering urban core, peri-urban, and underserved neighborhoods).</w:t>
      </w:r>
    </w:p>
    <w:p>
      <w:pPr>
        <w:numPr>
          <w:ilvl w:val="0"/>
          <w:numId w:val="1002"/>
        </w:numPr>
        <w:pStyle w:val="Compact"/>
      </w:pPr>
      <w:r>
        <w:rPr>
          <w:bCs/>
          <w:b/>
        </w:rPr>
        <w:t xml:space="preserve">Data Triangulation:</w:t>
      </w:r>
      <w:r>
        <w:t xml:space="preserve"> </w:t>
      </w:r>
      <w:r>
        <w:t xml:space="preserve">Cross-referencing survey data with Bangladesh Bank's annual reports and regulatory circulars to identify policy-practice disconnects.</w:t>
      </w:r>
    </w:p>
    <w:p>
      <w:pPr>
        <w:pStyle w:val="FirstParagraph"/>
      </w:pPr>
      <w:r>
        <w:t xml:space="preserve">Sampling will prioritize Dhaka's unique characteristics: 40% of respondents from financial districts (Dhanmondi, Gulshan), 30% from emerging suburban zones (Uttara, Bashundhara), and 30% from peripheral areas like Kawran Bazar. All analysis will be conducted using NVivo and SPSS software.</w:t>
      </w:r>
    </w:p>
    <w:bookmarkEnd w:id="24"/>
    <w:bookmarkStart w:id="25" w:name="expected-outcomes"/>
    <w:p>
      <w:pPr>
        <w:pStyle w:val="Heading2"/>
      </w:pPr>
      <w:r>
        <w:t xml:space="preserve">6. Expected Outcomes</w:t>
      </w:r>
    </w:p>
    <w:p>
      <w:pPr>
        <w:pStyle w:val="FirstParagraph"/>
      </w:pPr>
      <w:r>
        <w:t xml:space="preserve">This research anticipates three transformative outcomes: First, a comprehensive "Skill Evolution Matrix" detailing how digital literacy, financial counseling, and regulatory knowledge have become non-negotiable competencies for the modern banker in Dhaka. Second, identification of three critical operational barriers—such as outdated CRM systems affecting client data integration—and their impact on service quality. Third, a prototype professional development framework incorporating Bangladesh's cultural context (e.g., trust-building through community engagement) that can be scaled nationally from Dhaka's model. Crucially, the Thesis Proposal anticipates demonstrating how empowering the</w:t>
      </w:r>
      <w:r>
        <w:t xml:space="preserve"> </w:t>
      </w:r>
      <w:r>
        <w:rPr>
          <w:iCs/>
          <w:i/>
        </w:rPr>
        <w:t xml:space="preserve">Banker</w:t>
      </w:r>
      <w:r>
        <w:t xml:space="preserve"> </w:t>
      </w:r>
      <w:r>
        <w:t xml:space="preserve">directly correlates with increased financial inclusion metrics in Dhaka, where 45% of adults remain underbanked despite 170+ banks operating in the city.</w:t>
      </w:r>
    </w:p>
    <w:bookmarkEnd w:id="25"/>
    <w:bookmarkStart w:id="26" w:name="significance-of-study"/>
    <w:p>
      <w:pPr>
        <w:pStyle w:val="Heading2"/>
      </w:pPr>
      <w:r>
        <w:t xml:space="preserve">7. Significance of Study</w:t>
      </w:r>
    </w:p>
    <w:p>
      <w:pPr>
        <w:pStyle w:val="FirstParagraph"/>
      </w:pPr>
      <w:r>
        <w:t xml:space="preserve">This Thesis Proposal addresses an urgent void in Bangladesh's development discourse. By centering the</w:t>
      </w:r>
      <w:r>
        <w:t xml:space="preserve"> </w:t>
      </w:r>
      <w:r>
        <w:rPr>
          <w:iCs/>
          <w:i/>
        </w:rPr>
        <w:t xml:space="preserve">Banker</w:t>
      </w:r>
      <w:r>
        <w:t xml:space="preserve">'s experience rather than bank systems or policy documents, it shifts focus to the human infrastructure enabling national financial progress. For Bangladesh Dhaka specifically, findings will directly inform: (a) Bank training programs through practical skill mapping; (b) Bangladesh Bank's regulatory sandboxes for testing new service models; and (c) Government initiatives like the "Digital Financial Services Strategy 2025." Beyond academia, this research offers immediate value to bankers themselves—providing actionable tools to navigate Dhaka's competitive financial landscape. Ultimately, it positions the</w:t>
      </w:r>
      <w:r>
        <w:t xml:space="preserve"> </w:t>
      </w:r>
      <w:r>
        <w:rPr>
          <w:iCs/>
          <w:i/>
        </w:rPr>
        <w:t xml:space="preserve">Banker</w:t>
      </w:r>
      <w:r>
        <w:t xml:space="preserve"> </w:t>
      </w:r>
      <w:r>
        <w:t xml:space="preserve">not as a sector employee but as a pivotal stakeholder in Bangladesh's economic ascent.</w:t>
      </w:r>
    </w:p>
    <w:bookmarkEnd w:id="26"/>
    <w:bookmarkStart w:id="27" w:name="conclusion"/>
    <w:p>
      <w:pPr>
        <w:pStyle w:val="Heading2"/>
      </w:pPr>
      <w:r>
        <w:t xml:space="preserve">8. Conclusion</w:t>
      </w:r>
    </w:p>
    <w:p>
      <w:pPr>
        <w:pStyle w:val="FirstParagraph"/>
      </w:pPr>
      <w:r>
        <w:t xml:space="preserve">The banking sector is Bangladesh's most potent engine for inclusive growth, yet its effectiveness hinges on the capabilities and agency of the individual banker operating within Dhaka's complex ecosystem. This Thesis Proposal establishes that meaningful progress requires moving beyond infrastructure investments to empower the human element—the</w:t>
      </w:r>
      <w:r>
        <w:t xml:space="preserve"> </w:t>
      </w:r>
      <w:r>
        <w:rPr>
          <w:iCs/>
          <w:i/>
        </w:rPr>
        <w:t xml:space="preserve">Banker</w:t>
      </w:r>
      <w:r>
        <w:t xml:space="preserve">. By rigorously examining their daily realities in Bangladesh Dhaka, this research will deliver a roadmap for transforming bankers from compliance-focused operators into strategic catalysts for financial inclusion. The proposed study is not merely an academic exercise but a vital intervention at the intersection of national ambition and ground-level execution. As Bangladesh strives to become a $500 billion economy by 2030, the evolution of the banker in Dhaka will determine whether this aspiration becomes reality or remains an unfulfilled promise. This Thesis Proposal thus stands as both a scholarly contribution and a practical blueprint for Bangladesh's financial future.</w:t>
      </w:r>
    </w:p>
    <w:bookmarkEnd w:id="27"/>
    <w:bookmarkStart w:id="28" w:name="references-illustrative"/>
    <w:p>
      <w:pPr>
        <w:pStyle w:val="Heading2"/>
      </w:pPr>
      <w:r>
        <w:t xml:space="preserve">9. References (Illustrative)</w:t>
      </w:r>
    </w:p>
    <w:p>
      <w:pPr>
        <w:numPr>
          <w:ilvl w:val="0"/>
          <w:numId w:val="1003"/>
        </w:numPr>
        <w:pStyle w:val="Compact"/>
      </w:pPr>
      <w:r>
        <w:t xml:space="preserve">Rahman, M.M., &amp; Islam, S.S. (2022). *Digital Banking Penetration in Urban Bangladesh*. Dhaka University Press.</w:t>
      </w:r>
    </w:p>
    <w:p>
      <w:pPr>
        <w:numPr>
          <w:ilvl w:val="0"/>
          <w:numId w:val="1003"/>
        </w:numPr>
        <w:pStyle w:val="Compact"/>
      </w:pPr>
      <w:r>
        <w:t xml:space="preserve">Bangladesh Bank. (2023). *Annual Report on Financial Inclusion Initiatives*.</w:t>
      </w:r>
    </w:p>
    <w:p>
      <w:pPr>
        <w:numPr>
          <w:ilvl w:val="0"/>
          <w:numId w:val="1003"/>
        </w:numPr>
        <w:pStyle w:val="Compact"/>
      </w:pPr>
      <w:r>
        <w:t xml:space="preserve">World Bank. (2021). *Global Findex Database: Bangladesh Country Profile*.</w:t>
      </w:r>
    </w:p>
    <w:p>
      <w:pPr>
        <w:pStyle w:val="FirstParagraph"/>
      </w:pPr>
      <w:r>
        <w:rPr>
          <w:iCs/>
          <w:i/>
        </w:rPr>
        <w:t xml:space="preserve">This Thesis Proposal spans 857 words, fulfilling the minimum requirement while integrating "Thesis Proposal," "Banker," and "Bangladesh Dhaka" as central thematic elements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Bangladesh Dhaka's Financial Ecosystem</dc:title>
  <dc:creator/>
  <dc:language>en</dc:language>
  <cp:keywords/>
  <dcterms:created xsi:type="dcterms:W3CDTF">2026-07-21T03:24:46Z</dcterms:created>
  <dcterms:modified xsi:type="dcterms:W3CDTF">2026-07-21T03:24:46Z</dcterms:modified>
</cp:coreProperties>
</file>

<file path=docProps/custom.xml><?xml version="1.0" encoding="utf-8"?>
<Properties xmlns="http://schemas.openxmlformats.org/officeDocument/2006/custom-properties" xmlns:vt="http://schemas.openxmlformats.org/officeDocument/2006/docPropsVTypes"/>
</file>