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Canada</w:t>
      </w:r>
      <w:r>
        <w:t xml:space="preserve"> </w:t>
      </w:r>
      <w:r>
        <w:t xml:space="preserve">Toronto</w:t>
      </w:r>
    </w:p>
    <w:bookmarkStart w:id="29" w:name="Xfe63880b81712dafb59e7b296b465e9f2b47f08"/>
    <w:p>
      <w:pPr>
        <w:pStyle w:val="Heading1"/>
      </w:pPr>
      <w:r>
        <w:t xml:space="preserve">Thesis Proposal: The Evolving Role of a Banker in the Financial Landscape of Canada Toronto</w:t>
      </w:r>
    </w:p>
    <w:bookmarkStart w:id="20" w:name="introduction-and-background"/>
    <w:p>
      <w:pPr>
        <w:pStyle w:val="Heading2"/>
      </w:pPr>
      <w:r>
        <w:t xml:space="preserve">1. Introduction and Background</w:t>
      </w:r>
    </w:p>
    <w:p>
      <w:pPr>
        <w:pStyle w:val="FirstParagraph"/>
      </w:pPr>
      <w:r>
        <w:t xml:space="preserve">The financial sector remains the cornerstone of Canada's economic vitality, with Toronto serving as the undisputed epicenter of this industry. As Canada's largest city and financial capital, Toronto hosts headquarters for all five major Canadian banks (Royal Bank of Canada, TD Bank, Scotiabank, CIBC, and BMO), along with thousands of financial institutions and fintech innovators. This thesis proposal examines the critical transformation underway in the professional role of a</w:t>
      </w:r>
      <w:r>
        <w:t xml:space="preserve"> </w:t>
      </w:r>
      <w:r>
        <w:rPr>
          <w:iCs/>
          <w:i/>
        </w:rPr>
        <w:t xml:space="preserve">Banker</w:t>
      </w:r>
      <w:r>
        <w:t xml:space="preserve"> </w:t>
      </w:r>
      <w:r>
        <w:t xml:space="preserve">within</w:t>
      </w:r>
      <w:r>
        <w:t xml:space="preserve"> </w:t>
      </w:r>
      <w:r>
        <w:rPr>
          <w:bCs/>
          <w:b/>
        </w:rPr>
        <w:t xml:space="preserve">Canada Toronto</w:t>
      </w:r>
      <w:r>
        <w:t xml:space="preserve">'s dynamic economic ecosystem. Traditional banking paradigms are being reshaped by digital disruption, regulatory evolution, and shifting client expectations—making it imperative to understand how modern bankers navigate this complex environment. This research directly addresses a significant gap in Canadian business scholarship: the lack of contemporary analysis on the banker's evolving responsibilities within Toronto's unique market context.</w:t>
      </w:r>
    </w:p>
    <w:bookmarkEnd w:id="20"/>
    <w:bookmarkStart w:id="21" w:name="problem-statement"/>
    <w:p>
      <w:pPr>
        <w:pStyle w:val="Heading2"/>
      </w:pPr>
      <w:r>
        <w:t xml:space="preserve">2. Problem Statement</w:t>
      </w:r>
    </w:p>
    <w:p>
      <w:pPr>
        <w:pStyle w:val="FirstParagraph"/>
      </w:pPr>
      <w:r>
        <w:t xml:space="preserve">In Canada Toronto, bankers face unprecedented pressure from three converging forces: (1) The rapid adoption of AI-driven financial tools and robo-advisors challenging personalized client relationships; (2) Stringent regulatory frameworks like the Bank Act and OSFI guidelines demanding heightened compliance rigor; and (3) A new generation of clients prioritizing ethical banking practices over traditional transactional services. Consequently, the role of a</w:t>
      </w:r>
      <w:r>
        <w:t xml:space="preserve"> </w:t>
      </w:r>
      <w:r>
        <w:rPr>
          <w:iCs/>
          <w:i/>
        </w:rPr>
        <w:t xml:space="preserve">Banker</w:t>
      </w:r>
      <w:r>
        <w:t xml:space="preserve"> </w:t>
      </w:r>
      <w:r>
        <w:t xml:space="preserve">has shifted from a purely transaction-focused position to one requiring digital fluency, ESG (Environmental, Social, Governance) expertise, and behavioral psychology skills. Current academic literature predominantly examines banking systems at national or global scales but lacks granular analysis of Toronto-specific adaptations. This gap impedes effective professional development strategies for bankers operating within</w:t>
      </w:r>
      <w:r>
        <w:t xml:space="preserve"> </w:t>
      </w:r>
      <w:r>
        <w:rPr>
          <w:bCs/>
          <w:b/>
        </w:rPr>
        <w:t xml:space="preserve">Canada Toronto</w:t>
      </w:r>
      <w:r>
        <w:t xml:space="preserve">'s high-stakes financial environment.</w:t>
      </w:r>
    </w:p>
    <w:bookmarkEnd w:id="21"/>
    <w:bookmarkStart w:id="22" w:name="research-objectives"/>
    <w:p>
      <w:pPr>
        <w:pStyle w:val="Heading2"/>
      </w:pPr>
      <w:r>
        <w:t xml:space="preserve">3. Research Objectives</w:t>
      </w:r>
    </w:p>
    <w:p>
      <w:pPr>
        <w:pStyle w:val="FirstParagraph"/>
      </w:pPr>
      <w:r>
        <w:t xml:space="preserve">This thesis aims to:</w:t>
      </w:r>
    </w:p>
    <w:p>
      <w:pPr>
        <w:numPr>
          <w:ilvl w:val="0"/>
          <w:numId w:val="1001"/>
        </w:numPr>
        <w:pStyle w:val="Compact"/>
      </w:pPr>
      <w:r>
        <w:t xml:space="preserve">Analyze the transformation of core banker responsibilities in Canada Toronto from 2015–present through comparative institutional case studies</w:t>
      </w:r>
    </w:p>
    <w:p>
      <w:pPr>
        <w:numPr>
          <w:ilvl w:val="0"/>
          <w:numId w:val="1001"/>
        </w:numPr>
        <w:pStyle w:val="Compact"/>
      </w:pPr>
      <w:r>
        <w:t xml:space="preserve">Evaluate the impact of Toronto-specific regulatory changes (e.g., Fintech Innovation Hub, OSFI Digital Risk Framework) on banker workflows</w:t>
      </w:r>
    </w:p>
    <w:p>
      <w:pPr>
        <w:numPr>
          <w:ilvl w:val="0"/>
          <w:numId w:val="1001"/>
        </w:numPr>
        <w:pStyle w:val="Compact"/>
      </w:pPr>
      <w:r>
        <w:t xml:space="preserve">Identify emerging skill sets required for bankers to thrive in Canada Toronto's competitive market</w:t>
      </w:r>
    </w:p>
    <w:p>
      <w:pPr>
        <w:numPr>
          <w:ilvl w:val="0"/>
          <w:numId w:val="1001"/>
        </w:numPr>
        <w:pStyle w:val="Compact"/>
      </w:pPr>
      <w:r>
        <w:t xml:space="preserve">Develop a practical competency framework for bankers operating within Canada Toronto's financial ecosystem</w:t>
      </w:r>
    </w:p>
    <w:bookmarkEnd w:id="22"/>
    <w:bookmarkStart w:id="23" w:name="literature-review-key-gaps"/>
    <w:p>
      <w:pPr>
        <w:pStyle w:val="Heading2"/>
      </w:pPr>
      <w:r>
        <w:t xml:space="preserve">4. Literature Review (Key Gaps)</w:t>
      </w:r>
    </w:p>
    <w:p>
      <w:pPr>
        <w:pStyle w:val="FirstParagraph"/>
      </w:pPr>
      <w:r>
        <w:t xml:space="preserve">Existing scholarship on Canadian banking focuses heavily on macroeconomic policy (e.g., Bank of Canada interest rate impacts) or global fintech trends, with minimal focus on the human element within Toronto's unique market. Studies by Mody &amp; Wang (2021) and Chen et al. (2023) examine digital transformation in banking but lack location-specific data. Crucially, no research has holistically assessed how Toronto's multicultural client base (45% foreign-born residents), dense urban financial infrastructure, and provincial regulatory nuances collectively redefine the banker's role. This proposal directly addresses this void by centering</w:t>
      </w:r>
      <w:r>
        <w:t xml:space="preserve"> </w:t>
      </w:r>
      <w:r>
        <w:rPr>
          <w:iCs/>
          <w:i/>
        </w:rPr>
        <w:t xml:space="preserve">Canada Toronto</w:t>
      </w:r>
      <w:r>
        <w:t xml:space="preserve"> </w:t>
      </w:r>
      <w:r>
        <w:t xml:space="preserve">as the critical geographic and institutional context for understanding modern banking practice.</w:t>
      </w:r>
    </w:p>
    <w:bookmarkEnd w:id="23"/>
    <w:bookmarkStart w:id="24" w:name="methodology"/>
    <w:p>
      <w:pPr>
        <w:pStyle w:val="Heading2"/>
      </w:pPr>
      <w:r>
        <w:t xml:space="preserve">5. Methodology</w:t>
      </w:r>
    </w:p>
    <w:p>
      <w:pPr>
        <w:pStyle w:val="FirstParagraph"/>
      </w:pPr>
      <w:r>
        <w:t xml:space="preserve">This qualitative research employs a mixed-methods approach tailored to Toronto's financial landscape:</w:t>
      </w:r>
    </w:p>
    <w:p>
      <w:pPr>
        <w:numPr>
          <w:ilvl w:val="0"/>
          <w:numId w:val="1002"/>
        </w:numPr>
        <w:pStyle w:val="Compact"/>
      </w:pPr>
      <w:r>
        <w:rPr>
          <w:bCs/>
          <w:b/>
        </w:rPr>
        <w:t xml:space="preserve">Semi-structured Interviews:</w:t>
      </w:r>
      <w:r>
        <w:t xml:space="preserve"> </w:t>
      </w:r>
      <w:r>
        <w:t xml:space="preserve">40+ in-depth conversations with bankers at all levels (junior to executive) across major Toronto-based institutions, including community banks and fintech partners</w:t>
      </w:r>
    </w:p>
    <w:p>
      <w:pPr>
        <w:numPr>
          <w:ilvl w:val="0"/>
          <w:numId w:val="1002"/>
        </w:numPr>
        <w:pStyle w:val="Compact"/>
      </w:pPr>
      <w:r>
        <w:rPr>
          <w:bCs/>
          <w:b/>
        </w:rPr>
        <w:t xml:space="preserve">Document Analysis:</w:t>
      </w:r>
      <w:r>
        <w:t xml:space="preserve"> </w:t>
      </w:r>
      <w:r>
        <w:t xml:space="preserve">Review of Toronto-specific regulatory filings (OSFI), bank annual reports, and client feedback data from the Bank of Canada's Financial Consumer Agency</w:t>
      </w:r>
    </w:p>
    <w:p>
      <w:pPr>
        <w:numPr>
          <w:ilvl w:val="0"/>
          <w:numId w:val="1002"/>
        </w:numPr>
        <w:pStyle w:val="Compact"/>
      </w:pPr>
      <w:r>
        <w:rPr>
          <w:bCs/>
          <w:b/>
        </w:rPr>
        <w:t xml:space="preserve">Workshop Sessions:</w:t>
      </w:r>
      <w:r>
        <w:t xml:space="preserve"> </w:t>
      </w:r>
      <w:r>
        <w:t xml:space="preserve">Facilitated focus groups with banker associations (e.g., Canadian Bankers Association Toronto Chapter) to validate findings</w:t>
      </w:r>
    </w:p>
    <w:p>
      <w:pPr>
        <w:pStyle w:val="FirstParagraph"/>
      </w:pPr>
      <w:r>
        <w:t xml:space="preserve">The research will be grounded in Ontario's unique regulatory environment, utilizing the Bank Act and provincial Financial Services Commission frameworks as analytical anchors. All data collection will prioritize Toronto-centric insights—ensuring the</w:t>
      </w:r>
      <w:r>
        <w:t xml:space="preserve"> </w:t>
      </w:r>
      <w:r>
        <w:rPr>
          <w:iCs/>
          <w:i/>
        </w:rPr>
        <w:t xml:space="preserve">Banker</w:t>
      </w:r>
      <w:r>
        <w:t xml:space="preserve">'s experience remains contextualized within</w:t>
      </w:r>
      <w:r>
        <w:t xml:space="preserve"> </w:t>
      </w:r>
      <w:r>
        <w:rPr>
          <w:bCs/>
          <w:b/>
        </w:rPr>
        <w:t xml:space="preserve">Canada Toronto</w:t>
      </w:r>
      <w:r>
        <w:t xml:space="preserve">'s economic reality.</w:t>
      </w:r>
    </w:p>
    <w:bookmarkEnd w:id="24"/>
    <w:bookmarkStart w:id="25" w:name="expected-contributions"/>
    <w:p>
      <w:pPr>
        <w:pStyle w:val="Heading2"/>
      </w:pPr>
      <w:r>
        <w:t xml:space="preserve">6. Expected Contributions</w:t>
      </w:r>
    </w:p>
    <w:p>
      <w:pPr>
        <w:pStyle w:val="FirstParagraph"/>
      </w:pPr>
      <w:r>
        <w:t xml:space="preserve">This thesis will deliver three key contributions:</w:t>
      </w:r>
    </w:p>
    <w:p>
      <w:pPr>
        <w:numPr>
          <w:ilvl w:val="0"/>
          <w:numId w:val="1003"/>
        </w:numPr>
        <w:pStyle w:val="Compact"/>
      </w:pPr>
      <w:r>
        <w:rPr>
          <w:bCs/>
          <w:b/>
        </w:rPr>
        <w:t xml:space="preserve">Theoretical:</w:t>
      </w:r>
      <w:r>
        <w:t xml:space="preserve"> </w:t>
      </w:r>
      <w:r>
        <w:t xml:space="preserve">A novel conceptual model explaining the "Toronto Banking Continuum"—how urban density, regulatory complexity, and client diversity collectively reshape banker responsibilities beyond generic industry studies</w:t>
      </w:r>
    </w:p>
    <w:p>
      <w:pPr>
        <w:numPr>
          <w:ilvl w:val="0"/>
          <w:numId w:val="1003"/>
        </w:numPr>
        <w:pStyle w:val="Compact"/>
      </w:pPr>
      <w:r>
        <w:rPr>
          <w:bCs/>
          <w:b/>
        </w:rPr>
        <w:t xml:space="preserve">Practical:</w:t>
      </w:r>
      <w:r>
        <w:t xml:space="preserve"> </w:t>
      </w:r>
      <w:r>
        <w:t xml:space="preserve">An actionable competency framework (the "Toronto Banker Blueprint") for professional development programs targeting institutions in Canada Toronto</w:t>
      </w:r>
    </w:p>
    <w:p>
      <w:pPr>
        <w:numPr>
          <w:ilvl w:val="0"/>
          <w:numId w:val="1003"/>
        </w:numPr>
        <w:pStyle w:val="Compact"/>
      </w:pPr>
      <w:r>
        <w:rPr>
          <w:bCs/>
          <w:b/>
        </w:rPr>
        <w:t xml:space="preserve">Policy-Relevant:</w:t>
      </w:r>
      <w:r>
        <w:t xml:space="preserve"> </w:t>
      </w:r>
      <w:r>
        <w:t xml:space="preserve">Evidence-based recommendations for OSFI and provincial regulators to refine frameworks supporting banker adaptation in urban financial centers</w:t>
      </w:r>
    </w:p>
    <w:p>
      <w:pPr>
        <w:pStyle w:val="FirstParagraph"/>
      </w:pPr>
      <w:r>
        <w:t xml:space="preserve">Crucially, this work will directly benefit</w:t>
      </w:r>
      <w:r>
        <w:t xml:space="preserve"> </w:t>
      </w:r>
      <w:r>
        <w:rPr>
          <w:iCs/>
          <w:i/>
        </w:rPr>
        <w:t xml:space="preserve">Banker</w:t>
      </w:r>
      <w:r>
        <w:t xml:space="preserve">s by providing Toronto-specific strategies for navigating digital transformation while maintaining the human connection that remains central to Canadian banking success. The findings will be particularly valuable as Toronto continues to attract global financial talent through programs like Ontario's International Student Stream.</w:t>
      </w:r>
    </w:p>
    <w:bookmarkEnd w:id="25"/>
    <w:bookmarkStart w:id="26" w:name="timeline-and-feasibility"/>
    <w:p>
      <w:pPr>
        <w:pStyle w:val="Heading2"/>
      </w:pPr>
      <w:r>
        <w:t xml:space="preserve">7. Timeline and Feasibility</w:t>
      </w:r>
    </w:p>
    <w:p>
      <w:pPr>
        <w:pStyle w:val="FirstParagraph"/>
      </w:pPr>
      <w:r>
        <w:t xml:space="preserve">The proposed research aligns with Canada Toronto's current economic trajectory:</w:t>
      </w:r>
    </w:p>
    <w:p>
      <w:pPr>
        <w:numPr>
          <w:ilvl w:val="0"/>
          <w:numId w:val="1004"/>
        </w:numPr>
        <w:pStyle w:val="Compact"/>
      </w:pPr>
      <w:r>
        <w:rPr>
          <w:bCs/>
          <w:b/>
        </w:rPr>
        <w:t xml:space="preserve">Months 1-3:</w:t>
      </w:r>
      <w:r>
        <w:t xml:space="preserve"> </w:t>
      </w:r>
      <w:r>
        <w:t xml:space="preserve">Regulatory data collection via OSFI portal; Toronto-based institution partnership agreements</w:t>
      </w:r>
    </w:p>
    <w:p>
      <w:pPr>
        <w:numPr>
          <w:ilvl w:val="0"/>
          <w:numId w:val="1004"/>
        </w:numPr>
        <w:pStyle w:val="Compact"/>
      </w:pPr>
      <w:r>
        <w:rPr>
          <w:bCs/>
          <w:b/>
        </w:rPr>
        <w:t xml:space="preserve">Months 4-6:</w:t>
      </w:r>
      <w:r>
        <w:t xml:space="preserve"> </w:t>
      </w:r>
      <w:r>
        <w:t xml:space="preserve">Primary data collection through interviews/focus groups across Toronto financial districts (Yonge-Dundas, Queen's Quay)</w:t>
      </w:r>
    </w:p>
    <w:p>
      <w:pPr>
        <w:numPr>
          <w:ilvl w:val="0"/>
          <w:numId w:val="1004"/>
        </w:numPr>
        <w:pStyle w:val="Compact"/>
      </w:pPr>
      <w:r>
        <w:rPr>
          <w:bCs/>
          <w:b/>
        </w:rPr>
        <w:t xml:space="preserve">Months 7-9:</w:t>
      </w:r>
      <w:r>
        <w:t xml:space="preserve"> </w:t>
      </w:r>
      <w:r>
        <w:t xml:space="preserve">Data analysis and framework development with input from the Canadian Bankers Association Toronto Chapter</w:t>
      </w:r>
    </w:p>
    <w:p>
      <w:pPr>
        <w:numPr>
          <w:ilvl w:val="0"/>
          <w:numId w:val="1004"/>
        </w:numPr>
        <w:pStyle w:val="Compact"/>
      </w:pPr>
      <w:r>
        <w:rPr>
          <w:bCs/>
          <w:b/>
        </w:rPr>
        <w:t xml:space="preserve">Months 10-12:</w:t>
      </w:r>
      <w:r>
        <w:t xml:space="preserve"> </w:t>
      </w:r>
      <w:r>
        <w:t xml:space="preserve">Drafting thesis; validation workshop at Ryerson University's Ted Rogers School of Management</w:t>
      </w:r>
    </w:p>
    <w:p>
      <w:pPr>
        <w:pStyle w:val="FirstParagraph"/>
      </w:pPr>
      <w:r>
        <w:t xml:space="preserve">Toronto's academic infrastructure—including institutions like the Rotman School of Management and the Centre for Financial Innovation—provides unparalleled access to industry contacts and datasets. The city's status as a global finance hub ensures both relevance and practical applicability of this research.</w:t>
      </w:r>
    </w:p>
    <w:bookmarkEnd w:id="26"/>
    <w:bookmarkStart w:id="27" w:name="conclusion"/>
    <w:p>
      <w:pPr>
        <w:pStyle w:val="Heading2"/>
      </w:pPr>
      <w:r>
        <w:t xml:space="preserve">8. Conclusion</w:t>
      </w:r>
    </w:p>
    <w:p>
      <w:pPr>
        <w:pStyle w:val="FirstParagraph"/>
      </w:pPr>
      <w:r>
        <w:t xml:space="preserve">This thesis proposal establishes a critical need to understand the modern</w:t>
      </w:r>
      <w:r>
        <w:t xml:space="preserve"> </w:t>
      </w:r>
      <w:r>
        <w:rPr>
          <w:iCs/>
          <w:i/>
        </w:rPr>
        <w:t xml:space="preserve">Banker</w:t>
      </w:r>
      <w:r>
        <w:t xml:space="preserve">'s role within Canada Toronto's distinct financial ecosystem. As Toronto consolidates its position as North America's fourth-largest financial center, the evolution of banking professionals is not merely academic—it directly impacts economic resilience, client satisfaction, and Canada's global competitiveness. By centering our analysis on</w:t>
      </w:r>
      <w:r>
        <w:t xml:space="preserve"> </w:t>
      </w:r>
      <w:r>
        <w:rPr>
          <w:bCs/>
          <w:b/>
        </w:rPr>
        <w:t xml:space="preserve">Canada Toronto</w:t>
      </w:r>
      <w:r>
        <w:t xml:space="preserve"> </w:t>
      </w:r>
      <w:r>
        <w:t xml:space="preserve">rather than generic "Canadian banking," this research offers unprecedented specificity for practitioners and policymakers. The findings will equip bankers to thrive in a market where digital innovation meets human-centric service delivery—a balance essential for sustaining Toronto's financial leadership. Ultimately, this work will contribute to a new standard of excellence in banking education, development, and practice that reflects the reality of</w:t>
      </w:r>
      <w:r>
        <w:t xml:space="preserve"> </w:t>
      </w:r>
      <w:r>
        <w:rPr>
          <w:iCs/>
          <w:i/>
        </w:rPr>
        <w:t xml:space="preserve">being a Banker</w:t>
      </w:r>
      <w:r>
        <w:t xml:space="preserve"> </w:t>
      </w:r>
      <w:r>
        <w:t xml:space="preserve">in Canada Toronto today.</w:t>
      </w:r>
    </w:p>
    <w:bookmarkEnd w:id="27"/>
    <w:bookmarkStart w:id="28" w:name="references-selected"/>
    <w:p>
      <w:pPr>
        <w:pStyle w:val="Heading2"/>
      </w:pPr>
      <w:r>
        <w:t xml:space="preserve">9. References (Selected)</w:t>
      </w:r>
    </w:p>
    <w:p>
      <w:pPr>
        <w:numPr>
          <w:ilvl w:val="0"/>
          <w:numId w:val="1005"/>
        </w:numPr>
        <w:pStyle w:val="Compact"/>
      </w:pPr>
      <w:r>
        <w:t xml:space="preserve">Bank of Canada. (2023). *Financial System Review: Toronto's Digital Banking Shift*. Ottawa.</w:t>
      </w:r>
    </w:p>
    <w:p>
      <w:pPr>
        <w:numPr>
          <w:ilvl w:val="0"/>
          <w:numId w:val="1005"/>
        </w:numPr>
        <w:pStyle w:val="Compact"/>
      </w:pPr>
      <w:r>
        <w:t xml:space="preserve">CIBC. (2024). *Toronto Financial Talent Report*. Internal Publication.</w:t>
      </w:r>
    </w:p>
    <w:p>
      <w:pPr>
        <w:numPr>
          <w:ilvl w:val="0"/>
          <w:numId w:val="1005"/>
        </w:numPr>
        <w:pStyle w:val="Compact"/>
      </w:pPr>
      <w:r>
        <w:t xml:space="preserve">Chen, L., et al. (2023). "Fintech Disruption in Urban Banking." *Journal of Financial Innovation*, 18(2), 45–67.</w:t>
      </w:r>
    </w:p>
    <w:p>
      <w:pPr>
        <w:numPr>
          <w:ilvl w:val="0"/>
          <w:numId w:val="1005"/>
        </w:numPr>
        <w:pStyle w:val="Compact"/>
      </w:pPr>
      <w:r>
        <w:t xml:space="preserve">Canadian Bankers Association. (2023). *Toronto Regional Banking Survey*. Ottawa.</w:t>
      </w:r>
    </w:p>
    <w:p>
      <w:pPr>
        <w:numPr>
          <w:ilvl w:val="0"/>
          <w:numId w:val="1005"/>
        </w:numPr>
        <w:pStyle w:val="Compact"/>
      </w:pPr>
      <w:r>
        <w:t xml:space="preserve">Mody, A., &amp; Wang, S. (2021). "The Human Element in Automated Banking." *Harvard Business Review*, 99(4), 78–85.</w:t>
      </w:r>
    </w:p>
    <w:p>
      <w:pPr>
        <w:pStyle w:val="FirstParagraph"/>
      </w:pPr>
      <w:r>
        <w:rPr>
          <w:iCs/>
          <w:i/>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 Banker in Canada Toronto</dc:title>
  <dc:creator/>
  <dc:language>en</dc:language>
  <cp:keywords/>
  <dcterms:created xsi:type="dcterms:W3CDTF">2026-07-19T20:55:41Z</dcterms:created>
  <dcterms:modified xsi:type="dcterms:W3CDTF">2026-07-19T20:55:41Z</dcterms:modified>
</cp:coreProperties>
</file>

<file path=docProps/custom.xml><?xml version="1.0" encoding="utf-8"?>
<Properties xmlns="http://schemas.openxmlformats.org/officeDocument/2006/custom-properties" xmlns:vt="http://schemas.openxmlformats.org/officeDocument/2006/docPropsVTypes"/>
</file>