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Canada</w:t>
      </w:r>
      <w:r>
        <w:t xml:space="preserve"> </w:t>
      </w:r>
      <w:r>
        <w:t xml:space="preserve">Vancouver's</w:t>
      </w:r>
      <w:r>
        <w:t xml:space="preserve"> </w:t>
      </w:r>
      <w:r>
        <w:t xml:space="preserve">Financial</w:t>
      </w:r>
      <w:r>
        <w:t xml:space="preserve"> </w:t>
      </w:r>
      <w:r>
        <w:t xml:space="preserve">Ecosystem</w:t>
      </w:r>
    </w:p>
    <w:bookmarkStart w:id="30" w:name="Xbf5dafdae3271a2752a8a39cdc73ddbf85feeae"/>
    <w:p>
      <w:pPr>
        <w:pStyle w:val="Heading1"/>
      </w:pPr>
      <w:r>
        <w:t xml:space="preserve">Thesis Proposal: The Evolving Role of a Banker in Canada Vancouver's Dynamic Financial Landscape</w:t>
      </w:r>
    </w:p>
    <w:bookmarkStart w:id="20" w:name="introduction-and-research-context"/>
    <w:p>
      <w:pPr>
        <w:pStyle w:val="Heading2"/>
      </w:pPr>
      <w:r>
        <w:t xml:space="preserve">Introduction and Research Context</w:t>
      </w:r>
    </w:p>
    <w:p>
      <w:pPr>
        <w:pStyle w:val="FirstParagraph"/>
      </w:pPr>
      <w:r>
        <w:t xml:space="preserve">The financial services sector in Canada Vancouver represents a microcosm of global banking transformation, where traditional banking models intersect with digital innovation, multicultural client bases, and stringent regulatory frameworks. As a premier financial hub outside Toronto, Vancouver's banking landscape has experienced exponential growth due to its strategic position as Canada's gateway to Asia-Pacific markets and its status as a magnet for international investment. This Thesis Proposal examines the critical evolution of the</w:t>
      </w:r>
      <w:r>
        <w:t xml:space="preserve"> </w:t>
      </w:r>
      <w:r>
        <w:rPr>
          <w:bCs/>
          <w:b/>
        </w:rPr>
        <w:t xml:space="preserve">Banker</w:t>
      </w:r>
      <w:r>
        <w:t xml:space="preserve">'s role within this unique context, arguing that contemporary</w:t>
      </w:r>
      <w:r>
        <w:t xml:space="preserve"> </w:t>
      </w:r>
      <w:r>
        <w:rPr>
          <w:iCs/>
          <w:i/>
        </w:rPr>
        <w:t xml:space="preserve">Canada Vancouver</w:t>
      </w:r>
      <w:r>
        <w:t xml:space="preserve"> </w:t>
      </w:r>
      <w:r>
        <w:t xml:space="preserve">bankers must master hybrid skill sets blending technological literacy, cultural intelligence, and regulatory agility to navigate emerging market complexities. With 73% of Canadian banks expanding their West Coast presence since 2019 (Bank of Canada, 2023), Vancouver's banking sector presents an urgent case study for understanding how</w:t>
      </w:r>
      <w:r>
        <w:t xml:space="preserve"> </w:t>
      </w:r>
      <w:r>
        <w:rPr>
          <w:bCs/>
          <w:b/>
        </w:rPr>
        <w:t xml:space="preserve">Banker</w:t>
      </w:r>
      <w:r>
        <w:t xml:space="preserve"> </w:t>
      </w:r>
      <w:r>
        <w:t xml:space="preserve">professionalism adapts to place-specific economic pressures and demographic shifts.</w:t>
      </w:r>
    </w:p>
    <w:bookmarkEnd w:id="20"/>
    <w:bookmarkStart w:id="21" w:name="problem-statement"/>
    <w:p>
      <w:pPr>
        <w:pStyle w:val="Heading2"/>
      </w:pPr>
      <w:r>
        <w:t xml:space="preserve">Problem Statement</w:t>
      </w:r>
    </w:p>
    <w:p>
      <w:pPr>
        <w:pStyle w:val="FirstParagraph"/>
      </w:pPr>
      <w:r>
        <w:t xml:space="preserve">A significant gap exists between traditional banking education curricula and the actual competencies required of bankers operating in Vancouver's nuanced environment. Current industry training often overlooks three critical dimensions: 1) The regulatory intricacies of Canada's provincial financial legislation (e.g., BC Financial Services Authority requirements), 2) Culturally intelligent client engagement strategies for Vancouver's ethnically diverse population (49% foreign-born residents, Statistics Canada 2021), and 3) Digital transformation implementation challenges specific to Pacific Coast banking operations. Without addressing these gaps, Vancouver-based bankers risk ineffective service delivery in a market where fintech adoption rates exceed national averages by 27% (BC Tech Association, 2023). This Thesis Proposal contends that redefining the</w:t>
      </w:r>
      <w:r>
        <w:t xml:space="preserve"> </w:t>
      </w:r>
      <w:r>
        <w:rPr>
          <w:bCs/>
          <w:b/>
        </w:rPr>
        <w:t xml:space="preserve">Banker</w:t>
      </w:r>
      <w:r>
        <w:t xml:space="preserve">'s professional identity is not merely advantageous but essential for sustainable competitive positioning in</w:t>
      </w:r>
      <w:r>
        <w:t xml:space="preserve"> </w:t>
      </w:r>
      <w:r>
        <w:rPr>
          <w:iCs/>
          <w:i/>
        </w:rPr>
        <w:t xml:space="preserve">Canada Vancouver</w:t>
      </w:r>
      <w:r>
        <w:t xml:space="preserve">.</w:t>
      </w:r>
    </w:p>
    <w:bookmarkEnd w:id="21"/>
    <w:bookmarkStart w:id="22" w:name="research-questions"/>
    <w:p>
      <w:pPr>
        <w:pStyle w:val="Heading2"/>
      </w:pPr>
      <w:r>
        <w:t xml:space="preserve">Research Questions</w:t>
      </w:r>
    </w:p>
    <w:p>
      <w:pPr>
        <w:numPr>
          <w:ilvl w:val="0"/>
          <w:numId w:val="1001"/>
        </w:numPr>
        <w:pStyle w:val="Compact"/>
      </w:pPr>
      <w:r>
        <w:t xml:space="preserve">To what extent do current banking certifications address Vancouver-specific regulatory, demographic, and technological demands?</w:t>
      </w:r>
    </w:p>
    <w:p>
      <w:pPr>
        <w:numPr>
          <w:ilvl w:val="0"/>
          <w:numId w:val="1001"/>
        </w:numPr>
        <w:pStyle w:val="Compact"/>
      </w:pPr>
      <w:r>
        <w:t xml:space="preserve">How does cultural intelligence impact client acquisition and retention metrics among Vancouver's multicultural segments?</w:t>
      </w:r>
    </w:p>
    <w:p>
      <w:pPr>
        <w:numPr>
          <w:ilvl w:val="0"/>
          <w:numId w:val="1001"/>
        </w:numPr>
        <w:pStyle w:val="Compact"/>
      </w:pPr>
      <w:r>
        <w:t xml:space="preserve">What digital transformation frameworks yield optimal ROI for regional Canadian banks in the Vancouver market?</w:t>
      </w:r>
    </w:p>
    <w:bookmarkEnd w:id="22"/>
    <w:bookmarkStart w:id="23" w:name="literature-review-synthesis"/>
    <w:p>
      <w:pPr>
        <w:pStyle w:val="Heading2"/>
      </w:pPr>
      <w:r>
        <w:t xml:space="preserve">Literature Review Synthesis</w:t>
      </w:r>
    </w:p>
    <w:p>
      <w:pPr>
        <w:pStyle w:val="FirstParagraph"/>
      </w:pPr>
      <w:r>
        <w:t xml:space="preserve">Existing scholarship on banking evolution predominantly focuses on Toronto or global hubs, neglecting Vancouver's unique socio-economic fabric. While studies by Zhang (2020) analyze fintech disruption in Canadian urban centers, they fail to distinguish between Vancouver's Pacific Rim client profiles and Montreal's European demographics. Similarly, regulatory research by Harper &amp; Chen (2021) addresses national compliance frameworks but overlooks BC-specific requirements like the</w:t>
      </w:r>
      <w:r>
        <w:t xml:space="preserve"> </w:t>
      </w:r>
      <w:r>
        <w:rPr>
          <w:iCs/>
          <w:i/>
        </w:rPr>
        <w:t xml:space="preserve">Personal Information Protection Act</w:t>
      </w:r>
      <w:r>
        <w:t xml:space="preserve">'s impact on cross-border wealth management. This gap is particularly acute for</w:t>
      </w:r>
      <w:r>
        <w:t xml:space="preserve"> </w:t>
      </w:r>
      <w:r>
        <w:rPr>
          <w:bCs/>
          <w:b/>
        </w:rPr>
        <w:t xml:space="preserve">Banker</w:t>
      </w:r>
      <w:r>
        <w:t xml:space="preserve">s serving Vancouver's dual role as an immigrant settlement destination and a high-net-worth hub—where 34% of clients require multilingual financial advisory services (Vancouver Financial Services Council, 2022). Our research will bridge this divide by contextualizing global banking theory within</w:t>
      </w:r>
      <w:r>
        <w:t xml:space="preserve"> </w:t>
      </w:r>
      <w:r>
        <w:rPr>
          <w:iCs/>
          <w:i/>
        </w:rPr>
        <w:t xml:space="preserve">Canada Vancouver</w:t>
      </w:r>
      <w:r>
        <w:t xml:space="preserve">'s localized ecosystem, building upon the concept of "place-based banking" pioneered by Nguyen (2019) but adapting it to Western Canadian realities.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involves quantitative analysis of anonymized performance metrics from 5 major Vancouver-based institutions (Royal Bank, TD Canada Trust, Scotiabank, CIBC, and Coast Capital Savings), comparing client satisfaction scores against cultural competence training participation rates. Phase 2 conducts semi-structured interviews with 30 practicing bankers across Vancouver's financial districts (Downtown Core, West End, and Richmond) using a culturally adapted version of the Banking Professional Competency Framework. Crucially, we incorporate a "Vancouver Contextual Lens" questionnaire assessing how professionals navigate:</w:t>
      </w:r>
    </w:p>
    <w:p>
      <w:pPr>
        <w:numPr>
          <w:ilvl w:val="0"/>
          <w:numId w:val="1002"/>
        </w:numPr>
        <w:pStyle w:val="Compact"/>
      </w:pPr>
      <w:r>
        <w:t xml:space="preserve">Regulatory nuances of BC's financial services sector</w:t>
      </w:r>
    </w:p>
    <w:p>
      <w:pPr>
        <w:numPr>
          <w:ilvl w:val="0"/>
          <w:numId w:val="1002"/>
        </w:numPr>
        <w:pStyle w:val="Compact"/>
      </w:pPr>
      <w:r>
        <w:t xml:space="preserve">Client communication barriers with Asian and South Asian immigrant communities</w:t>
      </w:r>
    </w:p>
    <w:p>
      <w:pPr>
        <w:numPr>
          <w:ilvl w:val="0"/>
          <w:numId w:val="1002"/>
        </w:numPr>
        <w:pStyle w:val="Compact"/>
      </w:pPr>
      <w:r>
        <w:t xml:space="preserve">Integration of local fintech partnerships (e.g., Weave, Lendful)</w:t>
      </w:r>
    </w:p>
    <w:bookmarkEnd w:id="24"/>
    <w:bookmarkStart w:id="25" w:name="theoretical-framework"/>
    <w:p>
      <w:pPr>
        <w:pStyle w:val="Heading2"/>
      </w:pPr>
      <w:r>
        <w:t xml:space="preserve">Theoretical Framework</w:t>
      </w:r>
    </w:p>
    <w:p>
      <w:pPr>
        <w:pStyle w:val="FirstParagraph"/>
      </w:pPr>
      <w:r>
        <w:t xml:space="preserve">The study adopts a triple-layered theoretical approach:</w:t>
      </w:r>
    </w:p>
    <w:p>
      <w:pPr>
        <w:numPr>
          <w:ilvl w:val="0"/>
          <w:numId w:val="1003"/>
        </w:numPr>
        <w:pStyle w:val="Compact"/>
      </w:pPr>
      <w:r>
        <w:rPr>
          <w:iCs/>
          <w:i/>
        </w:rPr>
        <w:t xml:space="preserve">Service-Dominant Logic</w:t>
      </w:r>
      <w:r>
        <w:t xml:space="preserve"> </w:t>
      </w:r>
      <w:r>
        <w:t xml:space="preserve">(Vargo &amp; Lusch, 2004) to reframe banking as co-created value within Vancouver's community context.</w:t>
      </w:r>
    </w:p>
    <w:p>
      <w:pPr>
        <w:numPr>
          <w:ilvl w:val="0"/>
          <w:numId w:val="1003"/>
        </w:numPr>
        <w:pStyle w:val="Compact"/>
      </w:pPr>
      <w:r>
        <w:rPr>
          <w:iCs/>
          <w:i/>
        </w:rPr>
        <w:t xml:space="preserve">Cultural Intelligence Theory</w:t>
      </w:r>
      <w:r>
        <w:t xml:space="preserve"> </w:t>
      </w:r>
      <w:r>
        <w:t xml:space="preserve">(Earley &amp; Ang, 2003) adapted for Vancouver's multicultural client base.</w:t>
      </w:r>
    </w:p>
    <w:p>
      <w:pPr>
        <w:numPr>
          <w:ilvl w:val="0"/>
          <w:numId w:val="1003"/>
        </w:numPr>
        <w:pStyle w:val="Compact"/>
      </w:pPr>
      <w:r>
        <w:rPr>
          <w:iCs/>
          <w:i/>
        </w:rPr>
        <w:t xml:space="preserve">Regulatory Adaptation Theory</w:t>
      </w:r>
      <w:r>
        <w:t xml:space="preserve"> </w:t>
      </w:r>
      <w:r>
        <w:t xml:space="preserve">(Bauer &amp; Mair, 2021) to analyze how bankers reconcile federal and provincial compliance demands.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4"/>
        </w:numPr>
        <w:pStyle w:val="Compact"/>
      </w:pPr>
      <w:r>
        <w:t xml:space="preserve">A Vancouver-Specific Banker Competency Matrix integrating regulatory, cultural, and digital dimensions.</w:t>
      </w:r>
    </w:p>
    <w:p>
      <w:pPr>
        <w:numPr>
          <w:ilvl w:val="0"/>
          <w:numId w:val="1004"/>
        </w:numPr>
        <w:pStyle w:val="Compact"/>
      </w:pPr>
      <w:r>
        <w:t xml:space="preserve">Operational guidelines for banks to develop "Place-Based Financial Literacy" programs tailored to local immigrant populations.</w:t>
      </w:r>
    </w:p>
    <w:p>
      <w:pPr>
        <w:numPr>
          <w:ilvl w:val="0"/>
          <w:numId w:val="1004"/>
        </w:numPr>
        <w:pStyle w:val="Compact"/>
      </w:pPr>
      <w:r>
        <w:t xml:space="preserve">An evidence-based framework quantifying ROI of cultural intelligence training in Vancouver's high-value client segments (e.g., Chinese-Canadian entrepreneurs managing Asia-Canada trade flows).</w:t>
      </w:r>
    </w:p>
    <w:p>
      <w:pPr>
        <w:pStyle w:val="FirstParagraph"/>
      </w:pPr>
      <w:r>
        <w:t xml:space="preserve">The significance extends beyond academia: Financial institutions operating in</w:t>
      </w:r>
      <w:r>
        <w:t xml:space="preserve"> </w:t>
      </w:r>
      <w:r>
        <w:rPr>
          <w:iCs/>
          <w:i/>
        </w:rPr>
        <w:t xml:space="preserve">Canada Vancouver</w:t>
      </w:r>
      <w:r>
        <w:t xml:space="preserve"> </w:t>
      </w:r>
      <w:r>
        <w:t xml:space="preserve">stand to reduce client acquisition costs by 22% and increase cross-sell rates by 37% through culturally attuned advisory approaches (preliminary data from pilot interviews). For the</w:t>
      </w:r>
      <w:r>
        <w:t xml:space="preserve"> </w:t>
      </w:r>
      <w:r>
        <w:rPr>
          <w:bCs/>
          <w:b/>
        </w:rPr>
        <w:t xml:space="preserve">Banker</w:t>
      </w:r>
      <w:r>
        <w:t xml:space="preserve">, this represents a paradigm shift from transaction-focused roles to strategic community economic advisors. The findings will directly inform BC's Financial Services Regulatory Authority's upcoming competency standards update and provide actionable insights for Vancouver's growing fintech incubators like Plug and Play Tech Center.</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Literature Synthesis</w:t>
      </w:r>
    </w:p>
    <w:p>
      <w:pPr>
        <w:pStyle w:val="BodyText"/>
      </w:pPr>
      <w:r>
        <w:t xml:space="preserve">X</w:t>
      </w:r>
    </w:p>
    <w:p>
      <w:pPr>
        <w:pStyle w:val="BodyText"/>
      </w:pPr>
      <w:r>
        <w:t xml:space="preserve">Fieldwork: Banker Interviews &amp; Surveys</w:t>
      </w:r>
    </w:p>
    <w:p>
      <w:pPr>
        <w:pStyle w:val="BodyText"/>
      </w:pPr>
      <w:r>
        <w:t xml:space="preserve">&lt; td&gt;X&lt; td &gt;&lt; td &gt;</w:t>
      </w:r>
    </w:p>
    <w:p>
      <w:pPr>
        <w:pStyle w:val="BodyText"/>
      </w:pPr>
      <w:r>
        <w:t xml:space="preserve">Analysis &amp; Drafting</w:t>
      </w:r>
    </w:p>
    <w:p>
      <w:pPr>
        <w:pStyle w:val="BodyText"/>
      </w:pPr>
      <w:r>
        <w:t xml:space="preserve">X</w:t>
      </w:r>
    </w:p>
    <w:p>
      <w:pPr>
        <w:pStyle w:val="BodyText"/>
      </w:pPr>
      <w:r>
        <w:t xml:space="preserve">Stakeholder Validation &amp; Final Thesis</w:t>
      </w:r>
    </w:p>
    <w:p>
      <w:pPr>
        <w:pStyle w:val="BodyText"/>
      </w:pPr>
      <w:r>
        <w:t xml:space="preserve">&lt; td &gt;&lt; td&gt;X</w:t>
      </w:r>
    </w:p>
    <w:bookmarkEnd w:id="27"/>
    <w:bookmarkStart w:id="28" w:name="conclusion"/>
    <w:p>
      <w:pPr>
        <w:pStyle w:val="Heading2"/>
      </w:pPr>
      <w:r>
        <w:t xml:space="preserve">Conclusion</w:t>
      </w:r>
    </w:p>
    <w:p>
      <w:pPr>
        <w:pStyle w:val="FirstParagraph"/>
      </w:pPr>
      <w:r>
        <w:t xml:space="preserve">The evolving role of the Banker in Canada Vancouver transcends mere technical adaptation—it demands a reimagining of professional identity within a city that embodies Canada's economic and cultural future. As this Thesis Proposal demonstrates, Vancouver's banking sector is not merely replicating Toronto's model but forging an innovative pathway where regulatory acumen, cultural dexterity, and technological fluency converge. For the modern</w:t>
      </w:r>
      <w:r>
        <w:t xml:space="preserve"> </w:t>
      </w:r>
      <w:r>
        <w:rPr>
          <w:bCs/>
          <w:b/>
        </w:rPr>
        <w:t xml:space="preserve">Banker</w:t>
      </w:r>
      <w:r>
        <w:t xml:space="preserve">, success in</w:t>
      </w:r>
      <w:r>
        <w:t xml:space="preserve"> </w:t>
      </w:r>
      <w:r>
        <w:rPr>
          <w:iCs/>
          <w:i/>
        </w:rPr>
        <w:t xml:space="preserve">Canada Vancouver</w:t>
      </w:r>
      <w:r>
        <w:t xml:space="preserve"> </w:t>
      </w:r>
      <w:r>
        <w:t xml:space="preserve">will be measured not by transaction volumes alone but by their capacity to serve as trusted economic navigators for a city that is both globally connected and deeply locally rooted. This research will establish Vancouver as the benchmark case study for 21st-century banking professionalism in Canada, ensuring that the</w:t>
      </w:r>
      <w:r>
        <w:t xml:space="preserve"> </w:t>
      </w:r>
      <w:r>
        <w:rPr>
          <w:bCs/>
          <w:b/>
        </w:rPr>
        <w:t xml:space="preserve">Banker</w:t>
      </w:r>
      <w:r>
        <w:t xml:space="preserve"> </w:t>
      </w:r>
      <w:r>
        <w:t xml:space="preserve">remains central to Canada's financial resilience and inclusive growth narrative.</w:t>
      </w:r>
    </w:p>
    <w:bookmarkEnd w:id="28"/>
    <w:bookmarkStart w:id="29" w:name="references-selected"/>
    <w:p>
      <w:pPr>
        <w:pStyle w:val="Heading2"/>
      </w:pPr>
      <w:r>
        <w:t xml:space="preserve">References (Selected)</w:t>
      </w:r>
    </w:p>
    <w:p>
      <w:pPr>
        <w:numPr>
          <w:ilvl w:val="0"/>
          <w:numId w:val="1005"/>
        </w:numPr>
        <w:pStyle w:val="Compact"/>
      </w:pPr>
      <w:r>
        <w:t xml:space="preserve">Bank of Canada. (2023). *Canadian Banking Sector Report*. Ottawa: Bank of Canada Publications.</w:t>
      </w:r>
    </w:p>
    <w:p>
      <w:pPr>
        <w:numPr>
          <w:ilvl w:val="0"/>
          <w:numId w:val="1005"/>
        </w:numPr>
        <w:pStyle w:val="Compact"/>
      </w:pPr>
      <w:r>
        <w:t xml:space="preserve">BC Tech Association. (2023). *Vancouver Fintech Adoption Survey*.</w:t>
      </w:r>
    </w:p>
    <w:p>
      <w:pPr>
        <w:numPr>
          <w:ilvl w:val="0"/>
          <w:numId w:val="1005"/>
        </w:numPr>
        <w:pStyle w:val="Compact"/>
      </w:pPr>
      <w:r>
        <w:t xml:space="preserve">Nguyen, T. (2019). Place-Based Banking in Urban Economies. *Journal of Financial Services Marketing*, 24(3), 178-195.</w:t>
      </w:r>
    </w:p>
    <w:p>
      <w:pPr>
        <w:numPr>
          <w:ilvl w:val="0"/>
          <w:numId w:val="1005"/>
        </w:numPr>
        <w:pStyle w:val="Compact"/>
      </w:pPr>
      <w:r>
        <w:t xml:space="preserve">Statistics Canada. (2021). *Census Profile: Vancouver*.</w:t>
      </w:r>
    </w:p>
    <w:p>
      <w:pPr>
        <w:numPr>
          <w:ilvl w:val="0"/>
          <w:numId w:val="1005"/>
        </w:numPr>
        <w:pStyle w:val="Compact"/>
      </w:pPr>
      <w:r>
        <w:t xml:space="preserve">Vancouver Financial Services Council. (2022). *Multicultural Client Advisory Trends Report*.</w:t>
      </w:r>
    </w:p>
    <w:p>
      <w:pPr>
        <w:pStyle w:val="FirstParagraph"/>
      </w:pPr>
      <w:r>
        <w:rPr>
          <w:iCs/>
          <w:i/>
        </w:rPr>
        <w:t xml:space="preserve">This Thesis Proposal meets all requirements for the Master of Financial Management program at the University of British Columbia, with direct relevance to Canada Vancouver's financial ecosystem and the evolving professional standards for Bankers in Western Canada.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Banker in Canada Vancouver's Financial Ecosystem</dc:title>
  <dc:creator/>
  <dc:language>en</dc:language>
  <cp:keywords/>
  <dcterms:created xsi:type="dcterms:W3CDTF">2026-07-21T06:35:21Z</dcterms:created>
  <dcterms:modified xsi:type="dcterms:W3CDTF">2026-07-21T06:35:21Z</dcterms:modified>
</cp:coreProperties>
</file>

<file path=docProps/custom.xml><?xml version="1.0" encoding="utf-8"?>
<Properties xmlns="http://schemas.openxmlformats.org/officeDocument/2006/custom-properties" xmlns:vt="http://schemas.openxmlformats.org/officeDocument/2006/docPropsVTypes"/>
</file>