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Guangzhou's</w:t>
      </w:r>
      <w:r>
        <w:t xml:space="preserve"> </w:t>
      </w:r>
      <w:r>
        <w:t xml:space="preserve">Financial</w:t>
      </w:r>
      <w:r>
        <w:t xml:space="preserve"> </w:t>
      </w:r>
      <w:r>
        <w:t xml:space="preserve">Ecosystem</w:t>
      </w:r>
    </w:p>
    <w:bookmarkStart w:id="28" w:name="X6a2756a11314f91823ff81b029a6ab748926306"/>
    <w:p>
      <w:pPr>
        <w:pStyle w:val="Heading1"/>
      </w:pPr>
      <w:r>
        <w:t xml:space="preserve">Thesis Proposal: The Evolving Role of the Banker in Guangzhou's Financial Ecosystem</w:t>
      </w:r>
    </w:p>
    <w:bookmarkStart w:id="20" w:name="introduction"/>
    <w:p>
      <w:pPr>
        <w:pStyle w:val="Heading2"/>
      </w:pPr>
      <w:r>
        <w:t xml:space="preserve">1. Introduction</w:t>
      </w:r>
    </w:p>
    <w:p>
      <w:pPr>
        <w:pStyle w:val="FirstParagraph"/>
      </w:pPr>
      <w:r>
        <w:t xml:space="preserve">Guangzhou, as China's third-largest city and a pivotal hub of the Greater Bay Area (GBA) initiative, stands at the forefront of economic transformation within mainland China. With its strategic location along the Pearl River Delta and status as a historic center for international trade, Guangzhou has emerged as a critical node in China's financial landscape. In this dynamic environment, the role of the</w:t>
      </w:r>
      <w:r>
        <w:t xml:space="preserve"> </w:t>
      </w:r>
      <w:r>
        <w:rPr>
          <w:bCs/>
          <w:b/>
        </w:rPr>
        <w:t xml:space="preserve">Banker</w:t>
      </w:r>
      <w:r>
        <w:t xml:space="preserve"> </w:t>
      </w:r>
      <w:r>
        <w:t xml:space="preserve">transcends traditional transactional duties to become a strategic catalyst for sustainable growth, cross-border investment, and innovation. This thesis proposal examines the multifaceted responsibilities of modern bankers operating within</w:t>
      </w:r>
      <w:r>
        <w:t xml:space="preserve"> </w:t>
      </w:r>
      <w:r>
        <w:rPr>
          <w:bCs/>
          <w:b/>
        </w:rPr>
        <w:t xml:space="preserve">China Guangzhou</w:t>
      </w:r>
      <w:r>
        <w:t xml:space="preserve">, analyzing how their professional conduct, technological adaptability, and regulatory navigation shape regional economic resilience. The research is particularly timely given Guangzhou's accelerated financial liberalization under national policies like the "Belt and Road Initiative" and its ambition to become a global financial center by 2035.</w:t>
      </w:r>
    </w:p>
    <w:bookmarkEnd w:id="20"/>
    <w:bookmarkStart w:id="21" w:name="problem-statement"/>
    <w:p>
      <w:pPr>
        <w:pStyle w:val="Heading2"/>
      </w:pPr>
      <w:r>
        <w:t xml:space="preserve">2. Problem Statement</w:t>
      </w:r>
    </w:p>
    <w:p>
      <w:pPr>
        <w:pStyle w:val="FirstParagraph"/>
      </w:pPr>
      <w:r>
        <w:t xml:space="preserve">Despite Guangzhou's prominence as a commercial gateway, empirical research on the evolving professional identity of bankers in this context remains scarce. Current literature focuses predominantly on Beijing and Shanghai, neglecting Guangzhou's unique blend of historical trade networks and emerging fintech ecosystems. This gap creates critical blind spots: How do bankers navigate the tension between traditional relationship-based lending (a hallmark of Guangzhou's business culture) and digital banking innovations? How does regulatory pressure from China's Central Bank (PBOC) impact on-the-ground decision-making in a city with high SME density? Without addressing these questions, financial institutions in</w:t>
      </w:r>
      <w:r>
        <w:t xml:space="preserve"> </w:t>
      </w:r>
      <w:r>
        <w:rPr>
          <w:bCs/>
          <w:b/>
        </w:rPr>
        <w:t xml:space="preserve">China Guangzhou</w:t>
      </w:r>
      <w:r>
        <w:t xml:space="preserve"> </w:t>
      </w:r>
      <w:r>
        <w:t xml:space="preserve">risk misaligning talent development with regional economic imperatives. Consequently, this research directly addresses a pressing need to redefine the banker’s role for 21st-century urban economic governance.</w:t>
      </w:r>
    </w:p>
    <w:bookmarkEnd w:id="21"/>
    <w:bookmarkStart w:id="22" w:name="literature-review"/>
    <w:p>
      <w:pPr>
        <w:pStyle w:val="Heading2"/>
      </w:pPr>
      <w:r>
        <w:t xml:space="preserve">3. Literature Review</w:t>
      </w:r>
    </w:p>
    <w:p>
      <w:pPr>
        <w:pStyle w:val="FirstParagraph"/>
      </w:pPr>
      <w:r>
        <w:t xml:space="preserve">Existing scholarship on Chinese banking (e.g., Wang &amp; Zhang, 2020) emphasizes policy-driven reforms but underestimates local cultural nuances. Studies by Li (2019) on Guangzhou's credit market highlight the "guanxi" (relationship) system as a competitive advantage, yet they lack longitudinal analysis of how digital transformation reshapes these networks. Meanwhile, global research (e.g., OECD, 2021) on banker professionalism rarely accounts for China's regulatory distinctiveness. Crucially, no study has holistically examined the banker's triple role: as economic enabler (facilitating GBA capital flows), cultural bridge (mediating between local enterprises and foreign investors), and ethical guardian (managing ESG risks in a high-growth city). This thesis bridges that gap by centering</w:t>
      </w:r>
      <w:r>
        <w:t xml:space="preserve"> </w:t>
      </w:r>
      <w:r>
        <w:rPr>
          <w:bCs/>
          <w:b/>
        </w:rPr>
        <w:t xml:space="preserve">China Guangzhou</w:t>
      </w:r>
      <w:r>
        <w:t xml:space="preserve"> </w:t>
      </w:r>
      <w:r>
        <w:t xml:space="preserve">as both case study and conceptual framework.</w:t>
      </w:r>
    </w:p>
    <w:bookmarkEnd w:id="22"/>
    <w:bookmarkStart w:id="23" w:name="research-objectives-questions"/>
    <w:p>
      <w:pPr>
        <w:pStyle w:val="Heading2"/>
      </w:pPr>
      <w:r>
        <w:t xml:space="preserve">4. Research Objectives &amp; Questions</w:t>
      </w:r>
    </w:p>
    <w:p>
      <w:pPr>
        <w:pStyle w:val="FirstParagraph"/>
      </w:pPr>
      <w:r>
        <w:t xml:space="preserve">This research aims to construct a comprehensive model of the modern banker's role in Guangzhou through three interconnected objectives:</w:t>
      </w:r>
    </w:p>
    <w:p>
      <w:pPr>
        <w:numPr>
          <w:ilvl w:val="0"/>
          <w:numId w:val="1001"/>
        </w:numPr>
        <w:pStyle w:val="Compact"/>
      </w:pPr>
      <w:r>
        <w:t xml:space="preserve">To map the transformation of core banker responsibilities from transactional processing to strategic advisory roles within Guangzhou's SME-dominated economy.</w:t>
      </w:r>
    </w:p>
    <w:p>
      <w:pPr>
        <w:numPr>
          <w:ilvl w:val="0"/>
          <w:numId w:val="1001"/>
        </w:numPr>
        <w:pStyle w:val="Compact"/>
      </w:pPr>
      <w:r>
        <w:t xml:space="preserve">To quantify how regulatory compliance (e.g., PBOC’s 2023 green finance directives) influences daily decision-making in Guangzhou-based commercial banks.</w:t>
      </w:r>
    </w:p>
    <w:p>
      <w:pPr>
        <w:numPr>
          <w:ilvl w:val="0"/>
          <w:numId w:val="1001"/>
        </w:numPr>
        <w:pStyle w:val="Compact"/>
      </w:pPr>
      <w:r>
        <w:t xml:space="preserve">To evaluate the impact of fintech adoption (e.g., WeChat Pay integration, blockchain trade finance) on banker-client trust dynamics in the Pearl River Delta region.</w:t>
      </w:r>
    </w:p>
    <w:p>
      <w:pPr>
        <w:pStyle w:val="FirstParagraph"/>
      </w:pPr>
      <w:r>
        <w:t xml:space="preserve">Key research questions include: "How do Guangzhou bankers balance historical relationship norms with digital efficiency demands?" and "What specific skills must future bankers develop to serve Guangzhou’s GBA integration goals?"</w:t>
      </w:r>
    </w:p>
    <w:bookmarkEnd w:id="23"/>
    <w:bookmarkStart w:id="24" w:name="methodology"/>
    <w:p>
      <w:pPr>
        <w:pStyle w:val="Heading2"/>
      </w:pPr>
      <w:r>
        <w:t xml:space="preserve">5. Methodology</w:t>
      </w:r>
    </w:p>
    <w:p>
      <w:pPr>
        <w:pStyle w:val="FirstParagraph"/>
      </w:pPr>
      <w:r>
        <w:t xml:space="preserve">A mixed-methods approach will be employed to ensure robust, context-specific findings:</w:t>
      </w:r>
    </w:p>
    <w:p>
      <w:pPr>
        <w:numPr>
          <w:ilvl w:val="0"/>
          <w:numId w:val="1002"/>
        </w:numPr>
        <w:pStyle w:val="Compact"/>
      </w:pPr>
      <w:r>
        <w:rPr>
          <w:bCs/>
          <w:b/>
        </w:rPr>
        <w:t xml:space="preserve">Qualitative Phase:</w:t>
      </w:r>
      <w:r>
        <w:t xml:space="preserve"> </w:t>
      </w:r>
      <w:r>
        <w:t xml:space="preserve">Semi-structured interviews with 40+ bankers (senior officers from ICBC Guangzhou, Ping An Bank, and local credit unions) and policymakers at the Guangdong Financial Regulatory Bureau. Focus groups will explore cultural and ethical dilemmas in client relationships.</w:t>
      </w:r>
    </w:p>
    <w:p>
      <w:pPr>
        <w:numPr>
          <w:ilvl w:val="0"/>
          <w:numId w:val="1002"/>
        </w:numPr>
        <w:pStyle w:val="Compact"/>
      </w:pPr>
      <w:r>
        <w:rPr>
          <w:bCs/>
          <w:b/>
        </w:rPr>
        <w:t xml:space="preserve">Quantitative Phase:</w:t>
      </w:r>
      <w:r>
        <w:t xml:space="preserve"> </w:t>
      </w:r>
      <w:r>
        <w:t xml:space="preserve">Survey of 200+ Guangzhou-based SMEs assessing perceived banker effectiveness across 15 performance dimensions (e.g., loan processing speed, ESG guidance quality). Data will be analyzed using SPSS to identify correlation patterns.</w:t>
      </w:r>
    </w:p>
    <w:p>
      <w:pPr>
        <w:numPr>
          <w:ilvl w:val="0"/>
          <w:numId w:val="1002"/>
        </w:numPr>
        <w:pStyle w:val="Compact"/>
      </w:pPr>
      <w:r>
        <w:rPr>
          <w:bCs/>
          <w:b/>
        </w:rPr>
        <w:t xml:space="preserve">Case Study:</w:t>
      </w:r>
      <w:r>
        <w:t xml:space="preserve"> </w:t>
      </w:r>
      <w:r>
        <w:t xml:space="preserve">In-depth analysis of Guangzhou's "Fintech Innovation Zone" (2023), examining how banks like China Construction Bank deploy AI tools while preserving human banker oversight in client consultations.</w:t>
      </w:r>
    </w:p>
    <w:p>
      <w:pPr>
        <w:pStyle w:val="FirstParagraph"/>
      </w:pPr>
      <w:r>
        <w:t xml:space="preserve">Triangulation will ensure findings reflect both institutional realities and grassroots experiences across Guangzhou’s diverse financial clusters—from the Liwan District's traditional trade financing centers to the Tianhe CBD's digital banking hubs.</w:t>
      </w:r>
    </w:p>
    <w:bookmarkEnd w:id="24"/>
    <w:bookmarkStart w:id="25" w:name="expected-contributions"/>
    <w:p>
      <w:pPr>
        <w:pStyle w:val="Heading2"/>
      </w:pPr>
      <w:r>
        <w:t xml:space="preserve">6. Expected Contributions</w:t>
      </w:r>
    </w:p>
    <w:p>
      <w:pPr>
        <w:pStyle w:val="FirstParagraph"/>
      </w:pPr>
      <w:r>
        <w:t xml:space="preserve">This research will deliver three significant contributions:</w:t>
      </w:r>
    </w:p>
    <w:p>
      <w:pPr>
        <w:numPr>
          <w:ilvl w:val="0"/>
          <w:numId w:val="1003"/>
        </w:numPr>
        <w:pStyle w:val="Compact"/>
      </w:pPr>
      <w:r>
        <w:rPr>
          <w:bCs/>
          <w:b/>
        </w:rPr>
        <w:t xml:space="preserve">Ambitious Professional Framework:</w:t>
      </w:r>
      <w:r>
        <w:t xml:space="preserve"> </w:t>
      </w:r>
      <w:r>
        <w:t xml:space="preserve">A novel "3D Model" (Digital, Cultural, Regulatory) defining the modern banker’s competencies in Guangzhou, directly informing curriculum design at South China University of Technology's Business School and the Guangdong Banking Association's training programs.</w:t>
      </w:r>
    </w:p>
    <w:p>
      <w:pPr>
        <w:numPr>
          <w:ilvl w:val="0"/>
          <w:numId w:val="1003"/>
        </w:numPr>
        <w:pStyle w:val="Compact"/>
      </w:pPr>
      <w:r>
        <w:rPr>
          <w:bCs/>
          <w:b/>
        </w:rPr>
        <w:t xml:space="preserve">Policy Recommendations:</w:t>
      </w:r>
      <w:r>
        <w:t xml:space="preserve"> </w:t>
      </w:r>
      <w:r>
        <w:t xml:space="preserve">Evidence-based proposals for PBOC and Guangzhou Municipal Government to optimize regulatory sandboxes that support banker innovation without compromising financial stability.</w:t>
      </w:r>
    </w:p>
    <w:p>
      <w:pPr>
        <w:numPr>
          <w:ilvl w:val="0"/>
          <w:numId w:val="1003"/>
        </w:numPr>
        <w:pStyle w:val="Compact"/>
      </w:pPr>
      <w:r>
        <w:rPr>
          <w:bCs/>
          <w:b/>
        </w:rPr>
        <w:t xml:space="preserve">Economic Impact Analysis:</w:t>
      </w:r>
      <w:r>
        <w:t xml:space="preserve"> </w:t>
      </w:r>
      <w:r>
        <w:t xml:space="preserve">Quantification of how refined banker roles could accelerate GBA integration—e.g., modeling a 15% increase in cross-border SME financing within Guangzhou due to enhanced banker advisory capacity.</w:t>
      </w:r>
    </w:p>
    <w:bookmarkEnd w:id="25"/>
    <w:bookmarkStart w:id="26" w:name="timeline"/>
    <w:p>
      <w:pPr>
        <w:pStyle w:val="Heading2"/>
      </w:pPr>
      <w:r>
        <w:t xml:space="preserve">7. Timeline</w:t>
      </w:r>
    </w:p>
    <w:p>
      <w:pPr>
        <w:pStyle w:val="FirstParagraph"/>
      </w:pPr>
      <w:r>
        <w:t xml:space="preserve">The 18-month research plan includes:</w:t>
      </w:r>
    </w:p>
    <w:p>
      <w:pPr>
        <w:numPr>
          <w:ilvl w:val="0"/>
          <w:numId w:val="1004"/>
        </w:numPr>
        <w:pStyle w:val="Compact"/>
      </w:pPr>
      <w:r>
        <w:rPr>
          <w:bCs/>
          <w:b/>
        </w:rPr>
        <w:t xml:space="preserve">Months 1-3:</w:t>
      </w:r>
      <w:r>
        <w:t xml:space="preserve"> </w:t>
      </w:r>
      <w:r>
        <w:t xml:space="preserve">Literature synthesis; ethics approval; finalizing interview protocols with Guangdong Banking Association.</w:t>
      </w:r>
    </w:p>
    <w:p>
      <w:pPr>
        <w:numPr>
          <w:ilvl w:val="0"/>
          <w:numId w:val="1004"/>
        </w:numPr>
        <w:pStyle w:val="Compact"/>
      </w:pPr>
      <w:r>
        <w:rPr>
          <w:bCs/>
          <w:b/>
        </w:rPr>
        <w:t xml:space="preserve">Months 4-9:</w:t>
      </w:r>
      <w:r>
        <w:t xml:space="preserve"> </w:t>
      </w:r>
      <w:r>
        <w:t xml:space="preserve">Data collection: Conducting interviews, distributing SME surveys, and case study documentation across Guangzhou districts.</w:t>
      </w:r>
    </w:p>
    <w:p>
      <w:pPr>
        <w:numPr>
          <w:ilvl w:val="0"/>
          <w:numId w:val="1004"/>
        </w:numPr>
        <w:pStyle w:val="Compact"/>
      </w:pPr>
      <w:r>
        <w:rPr>
          <w:bCs/>
          <w:b/>
        </w:rPr>
        <w:t xml:space="preserve">Months 10-14:</w:t>
      </w:r>
      <w:r>
        <w:t xml:space="preserve"> </w:t>
      </w:r>
      <w:r>
        <w:t xml:space="preserve">Data analysis (qualitative coding via NVivo; statistical modeling) with biweekly feedback sessions involving Guangzhou Bank executives.</w:t>
      </w:r>
    </w:p>
    <w:p>
      <w:pPr>
        <w:numPr>
          <w:ilvl w:val="0"/>
          <w:numId w:val="1004"/>
        </w:numPr>
        <w:pStyle w:val="Compact"/>
      </w:pPr>
      <w:r>
        <w:rPr>
          <w:bCs/>
          <w:b/>
        </w:rPr>
        <w:t xml:space="preserve">Months 15-18:</w:t>
      </w:r>
      <w:r>
        <w:t xml:space="preserve"> </w:t>
      </w:r>
      <w:r>
        <w:t xml:space="preserve">Thesis drafting; policy brief development for Guangdong Financial Regulatory Bureau; peer review and submission.</w:t>
      </w:r>
    </w:p>
    <w:bookmarkEnd w:id="26"/>
    <w:bookmarkStart w:id="27" w:name="conclusion"/>
    <w:p>
      <w:pPr>
        <w:pStyle w:val="Heading2"/>
      </w:pPr>
      <w:r>
        <w:t xml:space="preserve">8. Conclusion</w:t>
      </w:r>
    </w:p>
    <w:p>
      <w:pPr>
        <w:pStyle w:val="FirstParagraph"/>
      </w:pPr>
      <w:r>
        <w:t xml:space="preserve">In the rapidly evolving economic tapestry of</w:t>
      </w:r>
      <w:r>
        <w:t xml:space="preserve"> </w:t>
      </w:r>
      <w:r>
        <w:rPr>
          <w:bCs/>
          <w:b/>
        </w:rPr>
        <w:t xml:space="preserve">China Guangzhou</w:t>
      </w:r>
      <w:r>
        <w:t xml:space="preserve">, the banker is no longer merely a financial intermediary but a linchpin of regional prosperity. This thesis proposal establishes that understanding and optimizing this role is essential for Guangzhou to fulfill its strategic vision within China’s national development roadmap. By grounding analysis in Guangzhou’s unique cultural, regulatory, and technological context—rather than applying generic models—the research will produce actionable insights for bankers, policymakers, and educators across</w:t>
      </w:r>
      <w:r>
        <w:t xml:space="preserve"> </w:t>
      </w:r>
      <w:r>
        <w:rPr>
          <w:bCs/>
          <w:b/>
        </w:rPr>
        <w:t xml:space="preserve">China</w:t>
      </w:r>
      <w:r>
        <w:t xml:space="preserve">. Ultimately, this work will advance the discipline of financial sociology while delivering practical value to one of the world’s most dynamic urban economies. The proposed study not only fulfills academic rigor but also serves as a vital compass for shaping Guangzhou's financial future where every banker becomes an agent of inclusive growth.</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Banker in Guangzhou's Financial Ecosystem</dc:title>
  <dc:creator/>
  <dc:language>en</dc:language>
  <cp:keywords/>
  <dcterms:created xsi:type="dcterms:W3CDTF">2025-12-11T00:06:42Z</dcterms:created>
  <dcterms:modified xsi:type="dcterms:W3CDTF">2025-12-11T00:06:42Z</dcterms:modified>
</cp:coreProperties>
</file>

<file path=docProps/custom.xml><?xml version="1.0" encoding="utf-8"?>
<Properties xmlns="http://schemas.openxmlformats.org/officeDocument/2006/custom-properties" xmlns:vt="http://schemas.openxmlformats.org/officeDocument/2006/docPropsVTypes"/>
</file>