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30" w:name="X5cd6b05778579b1605b4ec8464ef8a3d9189cd4"/>
    <w:p>
      <w:pPr>
        <w:pStyle w:val="Heading1"/>
      </w:pPr>
      <w:r>
        <w:t xml:space="preserve">Thesis Proposal: The Evolving Role of the Modern Banker in China Shanghai's Financial Ecosystem</w:t>
      </w:r>
    </w:p>
    <w:bookmarkStart w:id="20" w:name="introduction-and-background"/>
    <w:p>
      <w:pPr>
        <w:pStyle w:val="Heading2"/>
      </w:pPr>
      <w:r>
        <w:t xml:space="preserve">1. Introduction and Background</w:t>
      </w:r>
    </w:p>
    <w:p>
      <w:pPr>
        <w:pStyle w:val="FirstParagraph"/>
      </w:pPr>
      <w:r>
        <w:t xml:space="preserve">The financial landscape of China Shanghai has undergone unprecedented transformation, positioning the city as Asia's premier financial hub. As the world's 10th largest economy navigates its post-pandemic recovery and strategic economic reforms, Shanghai's banking sector serves as a critical engine for national development. This Thesis Proposal addresses an urgent gap in understanding how the professional role of the</w:t>
      </w:r>
      <w:r>
        <w:t xml:space="preserve"> </w:t>
      </w:r>
      <w:r>
        <w:rPr>
          <w:iCs/>
          <w:i/>
        </w:rPr>
        <w:t xml:space="preserve">Banker</w:t>
      </w:r>
      <w:r>
        <w:t xml:space="preserve"> </w:t>
      </w:r>
      <w:r>
        <w:t xml:space="preserve">is adapting to this dynamic environment. Traditional banking models are being reshaped by digital disruption, regulatory evolution, and shifting client expectations in</w:t>
      </w:r>
      <w:r>
        <w:t xml:space="preserve"> </w:t>
      </w:r>
      <w:r>
        <w:rPr>
          <w:bCs/>
          <w:b/>
        </w:rPr>
        <w:t xml:space="preserve">China Shanghai</w:t>
      </w:r>
      <w:r>
        <w:t xml:space="preserve">. The thesis will investigate whether contemporary bankers possess the requisite skills to navigate these complexities while maintaining Shanghai's competitive advantage in global finance.</w:t>
      </w:r>
    </w:p>
    <w:bookmarkEnd w:id="20"/>
    <w:bookmarkStart w:id="21" w:name="problem-statement"/>
    <w:p>
      <w:pPr>
        <w:pStyle w:val="Heading2"/>
      </w:pPr>
      <w:r>
        <w:t xml:space="preserve">2. Problem Statement</w:t>
      </w:r>
    </w:p>
    <w:p>
      <w:pPr>
        <w:pStyle w:val="FirstParagraph"/>
      </w:pPr>
      <w:r>
        <w:t xml:space="preserve">Despite Shanghai's status as China's financial epicenter, a critical disconnect exists between institutional banking strategies and frontline banker capabilities. Recent regulatory shifts like the 2023 Digital RMB Pilot Expansion and stricter cross-border capital controls have created operational ambiguities for bank staff. Simultaneously, fintech incumbents (e.g., Ant Group, WeChat Pay) capture 45% of retail transaction volumes in Shanghai's urban core, pressuring traditional bankers to develop new competencies. This Thesis Proposal contends that existing professional development frameworks fail to prepare</w:t>
      </w:r>
      <w:r>
        <w:t xml:space="preserve"> </w:t>
      </w:r>
      <w:r>
        <w:rPr>
          <w:iCs/>
          <w:i/>
        </w:rPr>
        <w:t xml:space="preserve">Banker</w:t>
      </w:r>
      <w:r>
        <w:t xml:space="preserve"> </w:t>
      </w:r>
      <w:r>
        <w:t xml:space="preserve">roles for the integrated digital-physical service model now required in</w:t>
      </w:r>
      <w:r>
        <w:t xml:space="preserve"> </w:t>
      </w:r>
      <w:r>
        <w:rPr>
          <w:bCs/>
          <w:b/>
        </w:rPr>
        <w:t xml:space="preserve">China Shanghai</w:t>
      </w:r>
      <w:r>
        <w:t xml:space="preserve">. Without strategic intervention, Shanghai risks losing its leadership position as Chinese banks increasingly adopt hybrid financial ecosystems.</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skillset requirements of bankers operating within Shanghai's regulatory environment (e.g., Pudong New Area Financial Reform Zone).</w:t>
      </w:r>
    </w:p>
    <w:p>
      <w:pPr>
        <w:numPr>
          <w:ilvl w:val="0"/>
          <w:numId w:val="1001"/>
        </w:numPr>
        <w:pStyle w:val="Compact"/>
      </w:pPr>
      <w:r>
        <w:t xml:space="preserve">To analyze the impact of China's Digital Currency Electronic Payment (DCEP) system on front-line banker-client interactions in Shanghai.</w:t>
      </w:r>
    </w:p>
    <w:p>
      <w:pPr>
        <w:numPr>
          <w:ilvl w:val="0"/>
          <w:numId w:val="1001"/>
        </w:numPr>
        <w:pStyle w:val="Compact"/>
      </w:pPr>
      <w:r>
        <w:t xml:space="preserve">To evaluate the effectiveness of current banking education programs in preparing professionals for Shanghai's unique market demands.</w:t>
      </w:r>
    </w:p>
    <w:p>
      <w:pPr>
        <w:numPr>
          <w:ilvl w:val="0"/>
          <w:numId w:val="1001"/>
        </w:numPr>
        <w:pStyle w:val="Compact"/>
      </w:pPr>
      <w:r>
        <w:t xml:space="preserve">To propose a competency framework for future-ready bankers within Shanghai's financial ecosystem.</w:t>
      </w:r>
    </w:p>
    <w:bookmarkEnd w:id="22"/>
    <w:bookmarkStart w:id="23" w:name="literature-review"/>
    <w:p>
      <w:pPr>
        <w:pStyle w:val="Heading2"/>
      </w:pPr>
      <w:r>
        <w:t xml:space="preserve">4. Literature Review</w:t>
      </w:r>
    </w:p>
    <w:p>
      <w:pPr>
        <w:pStyle w:val="FirstParagraph"/>
      </w:pPr>
      <w:r>
        <w:t xml:space="preserve">Existing scholarship predominantly focuses on macroeconomic trends (e.g., Wang &amp; Zhang, 2021) or fintech disruption (Chen et al., 2023) without addressing the human element. A notable gap persists in understanding the banker's role as a mediator between technological innovation and client trust. Recent studies from Shanghai Jiao Tong University (Liu, 2023) document digital adoption rates but overlook frontline staff perspectives. This Thesis Proposal bridges this divide by centering the</w:t>
      </w:r>
      <w:r>
        <w:t xml:space="preserve"> </w:t>
      </w:r>
      <w:r>
        <w:rPr>
          <w:iCs/>
          <w:i/>
        </w:rPr>
        <w:t xml:space="preserve">Banker</w:t>
      </w:r>
      <w:r>
        <w:t xml:space="preserve"> </w:t>
      </w:r>
      <w:r>
        <w:t xml:space="preserve">as an agent of change, drawing on institutional theory to examine how individual professionals navigate systemic shifts in</w:t>
      </w:r>
      <w:r>
        <w:t xml:space="preserve"> </w:t>
      </w:r>
      <w:r>
        <w:rPr>
          <w:bCs/>
          <w:b/>
        </w:rPr>
        <w:t xml:space="preserve">China Shanghai</w:t>
      </w:r>
      <w:r>
        <w:t xml:space="preserve">. We further integrate insights from the World Bank's 2023 Financial Inclusion Report highlighting Shanghai's 89% digital banking penetration rate – a benchmark demanding new banker competencies.</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 in</w:t>
      </w:r>
      <w:r>
        <w:t xml:space="preserve"> </w:t>
      </w:r>
      <w:r>
        <w:rPr>
          <w:bCs/>
          <w:b/>
        </w:rPr>
        <w:t xml:space="preserve">China Shanghai</w:t>
      </w:r>
      <w:r>
        <w:t xml:space="preserve">:</w:t>
      </w:r>
    </w:p>
    <w:p>
      <w:pPr>
        <w:numPr>
          <w:ilvl w:val="0"/>
          <w:numId w:val="1002"/>
        </w:numPr>
        <w:pStyle w:val="Compact"/>
      </w:pPr>
      <w:r>
        <w:rPr>
          <w:bCs/>
          <w:b/>
        </w:rPr>
        <w:t xml:space="preserve">Phase 1 (Quantitative):</w:t>
      </w:r>
      <w:r>
        <w:t xml:space="preserve"> </w:t>
      </w:r>
      <w:r>
        <w:t xml:space="preserve">Survey of 300 bankers across 15 major institutions (including Bank of China Shanghai HQ, HSBC China, and local rural banks) using a validated competency assessment scale developed for Chinese financial markets.</w:t>
      </w:r>
    </w:p>
    <w:p>
      <w:pPr>
        <w:numPr>
          <w:ilvl w:val="0"/>
          <w:numId w:val="1002"/>
        </w:numPr>
        <w:pStyle w:val="Compact"/>
      </w:pPr>
      <w:r>
        <w:rPr>
          <w:bCs/>
          <w:b/>
        </w:rPr>
        <w:t xml:space="preserve">Phase 2 (Qualitative):</w:t>
      </w:r>
      <w:r>
        <w:t xml:space="preserve"> </w:t>
      </w:r>
      <w:r>
        <w:t xml:space="preserve">In-depth interviews with 30 senior bankers and compliance officers from Shanghai's Financial Street, supplemented by focus groups at the Shanghai Stock Exchange Training Center.</w:t>
      </w:r>
    </w:p>
    <w:p>
      <w:pPr>
        <w:numPr>
          <w:ilvl w:val="0"/>
          <w:numId w:val="1002"/>
        </w:numPr>
        <w:pStyle w:val="Compact"/>
      </w:pPr>
      <w:r>
        <w:rPr>
          <w:bCs/>
          <w:b/>
        </w:rPr>
        <w:t xml:space="preserve">Contextual Analysis:</w:t>
      </w:r>
      <w:r>
        <w:t xml:space="preserve"> </w:t>
      </w:r>
      <w:r>
        <w:t xml:space="preserve">Policy document review of China Banking Regulatory Commission (CBRC) circulars since 2020 and Shanghai Municipal Government financial strategy papers.</w:t>
      </w:r>
    </w:p>
    <w:p>
      <w:pPr>
        <w:pStyle w:val="FirstParagraph"/>
      </w:pPr>
      <w:r>
        <w:t xml:space="preserve">Data will be triangulated using NVivo for thematic analysis, with results benchmarked against the OECD's Financial Services Professional Standards. Ethical clearance will be obtained through Fudan University's IRB, prioritizing confidentiality in China's sensitive financial context.</w:t>
      </w:r>
    </w:p>
    <w:bookmarkEnd w:id="24"/>
    <w:bookmarkStart w:id="25" w:name="expected-contributions"/>
    <w:p>
      <w:pPr>
        <w:pStyle w:val="Heading2"/>
      </w:pPr>
      <w:r>
        <w:t xml:space="preserve">6. Expected Contributions</w:t>
      </w:r>
    </w:p>
    <w:p>
      <w:pPr>
        <w:pStyle w:val="FirstParagraph"/>
      </w:pPr>
      <w:r>
        <w:t xml:space="preserve">This Thesis Proposal delivers three distinct contributions:</w:t>
      </w:r>
    </w:p>
    <w:p>
      <w:pPr>
        <w:numPr>
          <w:ilvl w:val="0"/>
          <w:numId w:val="1003"/>
        </w:numPr>
        <w:pStyle w:val="Compact"/>
      </w:pPr>
      <w:r>
        <w:rPr>
          <w:bCs/>
          <w:b/>
        </w:rPr>
        <w:t xml:space="preserve">Theoretical:</w:t>
      </w:r>
      <w:r>
        <w:t xml:space="preserve"> </w:t>
      </w:r>
      <w:r>
        <w:t xml:space="preserve">A novel conceptual framework linking regulatory policy, technological infrastructure (e.g., Shanghai's blockchain-based trade finance platform), and the evolving professional identity of the banker.</w:t>
      </w:r>
    </w:p>
    <w:p>
      <w:pPr>
        <w:numPr>
          <w:ilvl w:val="0"/>
          <w:numId w:val="1003"/>
        </w:numPr>
        <w:pStyle w:val="Compact"/>
      </w:pPr>
      <w:r>
        <w:rPr>
          <w:bCs/>
          <w:b/>
        </w:rPr>
        <w:t xml:space="preserve">Practical:</w:t>
      </w:r>
      <w:r>
        <w:t xml:space="preserve"> </w:t>
      </w:r>
      <w:r>
        <w:t xml:space="preserve">An implementable competency matrix for banks in China Shanghai, addressing critical gaps identified in digital literacy, cross-cultural client management (for international clients), and ethical decision-making under DCEP regulations.</w:t>
      </w:r>
    </w:p>
    <w:p>
      <w:pPr>
        <w:numPr>
          <w:ilvl w:val="0"/>
          <w:numId w:val="1003"/>
        </w:numPr>
        <w:pStyle w:val="Compact"/>
      </w:pPr>
      <w:r>
        <w:rPr>
          <w:bCs/>
          <w:b/>
        </w:rPr>
        <w:t xml:space="preserve">Policy-Relevant:</w:t>
      </w:r>
      <w:r>
        <w:t xml:space="preserve"> </w:t>
      </w:r>
      <w:r>
        <w:t xml:space="preserve">Evidence-based recommendations for the Shanghai Financial Regulatory Bureau on workforce development programs aligned with the city's 2035 Financial Center Development Plan.</w:t>
      </w:r>
    </w:p>
    <w:bookmarkEnd w:id="25"/>
    <w:bookmarkStart w:id="26" w:name="significance-in-china-shanghai-context"/>
    <w:p>
      <w:pPr>
        <w:pStyle w:val="Heading2"/>
      </w:pPr>
      <w:r>
        <w:t xml:space="preserve">7. Significance in China Shanghai Context</w:t>
      </w:r>
    </w:p>
    <w:p>
      <w:pPr>
        <w:pStyle w:val="FirstParagraph"/>
      </w:pPr>
      <w:r>
        <w:t xml:space="preserve">The urgency of this research is amplified by Shanghai's strategic position as China's gateway to global finance. As the city advances its "International Financial Center" initiative (with 50% of Fortune 500 financial firms now headquartered in Pudong), the efficacy of its banking workforce directly impacts national economic goals. This Thesis Proposal confronts a critical question: Can</w:t>
      </w:r>
      <w:r>
        <w:t xml:space="preserve"> </w:t>
      </w:r>
      <w:r>
        <w:rPr>
          <w:iCs/>
          <w:i/>
        </w:rPr>
        <w:t xml:space="preserve">Banker</w:t>
      </w:r>
      <w:r>
        <w:t xml:space="preserve"> </w:t>
      </w:r>
      <w:r>
        <w:t xml:space="preserve">professionals become agile navigators of Shanghai's complex regulatory-technological landscape, or will institutional inertia erode the city's competitive edge? Findings will directly inform key stakeholders including the Shanghai Banking Association and China's Central Bank, with potential applications for other emerging financial hubs in Southeast Asia.</w:t>
      </w:r>
    </w:p>
    <w:bookmarkEnd w:id="26"/>
    <w:bookmarkStart w:id="27" w:name="timeline-research-framework"/>
    <w:p>
      <w:pPr>
        <w:pStyle w:val="Heading2"/>
      </w:pPr>
      <w:r>
        <w:t xml:space="preserve">8. Timeline (Research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Methdology finalization, survey instrument approval from Shanghai universities</w:t>
            </w:r>
          </w:p>
        </w:tc>
      </w:tr>
      <w:tr>
        <w:tc>
          <w:tcPr/>
          <w:p>
            <w:pPr>
              <w:pStyle w:val="Compact"/>
              <w:jc w:val="left"/>
            </w:pPr>
            <w:r>
              <w:t xml:space="preserve">Data Collection (Surveys/Interviews)</w:t>
            </w:r>
          </w:p>
        </w:tc>
        <w:tc>
          <w:tcPr/>
          <w:p>
            <w:pPr>
              <w:pStyle w:val="Compact"/>
              <w:jc w:val="left"/>
            </w:pPr>
            <w:r>
              <w:t xml:space="preserve">Months 4-7</w:t>
            </w:r>
          </w:p>
        </w:tc>
        <w:tc>
          <w:tcPr/>
          <w:p>
            <w:pPr>
              <w:pStyle w:val="Compact"/>
              <w:jc w:val="left"/>
            </w:pPr>
            <w:r>
              <w:t xml:space="preserve">Quantitative dataset; Transcribed interview transcripts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Competency framework draft; Policy brief for Shanghai Financial Bureau</w:t>
            </w:r>
          </w:p>
        </w:tc>
      </w:tr>
      <w:tr>
        <w:tc>
          <w:tcPr/>
          <w:p>
            <w:pPr>
              <w:pStyle w:val="Compact"/>
              <w:jc w:val="left"/>
            </w:pPr>
            <w:r>
              <w:t xml:space="preserve">Thesis Finalization &amp; Stakeholder Review</w:t>
            </w:r>
          </w:p>
        </w:tc>
        <w:tc>
          <w:tcPr/>
          <w:p>
            <w:pPr>
              <w:pStyle w:val="Compact"/>
              <w:jc w:val="left"/>
            </w:pPr>
            <w:r>
              <w:t xml:space="preserve">Months 11-12</w:t>
            </w:r>
          </w:p>
        </w:tc>
        <w:tc>
          <w:tcPr/>
          <w:p>
            <w:pPr>
              <w:pStyle w:val="Compact"/>
              <w:jc w:val="left"/>
            </w:pPr>
            <w:r>
              <w:t xml:space="preserve">Final Thesis Proposal; Presentation to China Banking Association (Shanghai)</w:t>
            </w:r>
          </w:p>
        </w:tc>
      </w:tr>
    </w:tbl>
    <w:bookmarkEnd w:id="27"/>
    <w:bookmarkStart w:id="28" w:name="conclusion"/>
    <w:p>
      <w:pPr>
        <w:pStyle w:val="Heading2"/>
      </w:pPr>
      <w:r>
        <w:t xml:space="preserve">9. Conclusion</w:t>
      </w:r>
    </w:p>
    <w:p>
      <w:pPr>
        <w:pStyle w:val="FirstParagraph"/>
      </w:pPr>
      <w:r>
        <w:t xml:space="preserve">This Thesis Proposal establishes a timely investigation into the professional transformation of the banker within Shanghai's rapidly evolving financial ecosystem. By centering the practitioner's experience in China Shanghai – rather than abstract market trends – it promises actionable insights for banking institutions, regulators, and policymakers. The research directly addresses how frontline bankers can become strategic assets in maintaining Shanghai's status as a global financial powerhouse during this pivotal decade of digital transformation. As China positions itself as a leader in sustainable finance and fintech innovation, the adaptability of its bankers will determine whether</w:t>
      </w:r>
      <w:r>
        <w:t xml:space="preserve"> </w:t>
      </w:r>
      <w:r>
        <w:rPr>
          <w:bCs/>
          <w:b/>
        </w:rPr>
        <w:t xml:space="preserve">China Shanghai</w:t>
      </w:r>
      <w:r>
        <w:t xml:space="preserve"> </w:t>
      </w:r>
      <w:r>
        <w:t xml:space="preserve">becomes the world's most resilient financial hub or merely another case study in technological disruption. This Thesis Proposal commits to delivering evidence-based pathways for building that future.</w:t>
      </w:r>
    </w:p>
    <w:bookmarkEnd w:id="28"/>
    <w:bookmarkStart w:id="29" w:name="references-selected"/>
    <w:p>
      <w:pPr>
        <w:pStyle w:val="Heading2"/>
      </w:pPr>
      <w:r>
        <w:t xml:space="preserve">References (Selected)</w:t>
      </w:r>
    </w:p>
    <w:p>
      <w:pPr>
        <w:numPr>
          <w:ilvl w:val="0"/>
          <w:numId w:val="1004"/>
        </w:numPr>
        <w:pStyle w:val="Compact"/>
      </w:pPr>
      <w:r>
        <w:t xml:space="preserve">Chen, L., Wang, Y., &amp; Zhang, Q. (2023). *Fintech Disruption in Chinese Banking: A Regional Analysis*. Journal of Financial Innovation.</w:t>
      </w:r>
    </w:p>
    <w:p>
      <w:pPr>
        <w:numPr>
          <w:ilvl w:val="0"/>
          <w:numId w:val="1004"/>
        </w:numPr>
        <w:pStyle w:val="Compact"/>
      </w:pPr>
      <w:r>
        <w:t xml:space="preserve">Liu, W. (2023). *Digital Banking Adoption in Shanghai's Urban Core*. Shanghai Jiao Tong University Press.</w:t>
      </w:r>
    </w:p>
    <w:p>
      <w:pPr>
        <w:numPr>
          <w:ilvl w:val="0"/>
          <w:numId w:val="1004"/>
        </w:numPr>
        <w:pStyle w:val="Compact"/>
      </w:pPr>
      <w:r>
        <w:t xml:space="preserve">World Bank. (2023). *China Financial Inclusion Report: Shanghai Case Study*. Washington DC: World Bank Group.</w:t>
      </w:r>
    </w:p>
    <w:p>
      <w:pPr>
        <w:numPr>
          <w:ilvl w:val="0"/>
          <w:numId w:val="1004"/>
        </w:numPr>
        <w:pStyle w:val="Compact"/>
      </w:pPr>
      <w:r>
        <w:t xml:space="preserve">Wang, X., &amp; Zhang, H. (2021). *Regulatory Evolution in China's Banking Sector*. Asian Economic Policy Review.</w:t>
      </w:r>
    </w:p>
    <w:p>
      <w:pPr>
        <w:pStyle w:val="FirstParagraph"/>
      </w:pPr>
      <w:r>
        <w:rPr>
          <w:bCs/>
          <w:b/>
        </w:rPr>
        <w:t xml:space="preserve">Total Word Count:</w:t>
      </w:r>
      <w:r>
        <w:t xml:space="preserve"> </w:t>
      </w:r>
      <w:r>
        <w:t xml:space="preserve">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China Shanghai's Financial Ecosystem</dc:title>
  <dc:creator/>
  <dc:language>en</dc:language>
  <cp:keywords/>
  <dcterms:created xsi:type="dcterms:W3CDTF">2026-07-21T06:39:23Z</dcterms:created>
  <dcterms:modified xsi:type="dcterms:W3CDTF">2026-07-21T06:39:23Z</dcterms:modified>
</cp:coreProperties>
</file>

<file path=docProps/custom.xml><?xml version="1.0" encoding="utf-8"?>
<Properties xmlns="http://schemas.openxmlformats.org/officeDocument/2006/custom-properties" xmlns:vt="http://schemas.openxmlformats.org/officeDocument/2006/docPropsVTypes"/>
</file>