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Colombia</w:t>
      </w:r>
      <w:r>
        <w:t xml:space="preserve"> </w:t>
      </w:r>
      <w:r>
        <w:t xml:space="preserve">Bogotá's</w:t>
      </w:r>
      <w:r>
        <w:t xml:space="preserve"> </w:t>
      </w:r>
      <w:r>
        <w:t xml:space="preserve">Financial</w:t>
      </w:r>
      <w:r>
        <w:t xml:space="preserve"> </w:t>
      </w:r>
      <w:r>
        <w:t xml:space="preserve">Ecosystem</w:t>
      </w:r>
    </w:p>
    <w:bookmarkStart w:id="30" w:name="X37aa2a7a4ae754ecf0c0911e2be914700ae9b77"/>
    <w:p>
      <w:pPr>
        <w:pStyle w:val="Heading1"/>
      </w:pPr>
      <w:r>
        <w:t xml:space="preserve">Thesis Proposal: The Evolving Role of the Modern Banker in Colombia Bogotá's Financial Ecosystem</w:t>
      </w:r>
    </w:p>
    <w:bookmarkStart w:id="20" w:name="introduction-and-background"/>
    <w:p>
      <w:pPr>
        <w:pStyle w:val="Heading2"/>
      </w:pPr>
      <w:r>
        <w:t xml:space="preserve">1. Introduction and Background</w:t>
      </w:r>
    </w:p>
    <w:p>
      <w:pPr>
        <w:pStyle w:val="FirstParagraph"/>
      </w:pPr>
      <w:r>
        <w:t xml:space="preserve">The banking sector in Colombia represents a cornerstone of the nation's economic infrastructure, contributing approximately 9% to the country's GDP. Within this landscape, Bogotá stands as the undisputed financial capital, housing over 70% of Colombia's banking institutions and serving as the operational hub for multinational banks operating across Latin America. This concentration creates a dynamic yet complex environment where the role of the</w:t>
      </w:r>
      <w:r>
        <w:t xml:space="preserve"> </w:t>
      </w:r>
      <w:r>
        <w:rPr>
          <w:iCs/>
          <w:i/>
        </w:rPr>
        <w:t xml:space="preserve">Banker</w:t>
      </w:r>
      <w:r>
        <w:t xml:space="preserve"> </w:t>
      </w:r>
      <w:r>
        <w:t xml:space="preserve">has undergone profound transformation in recent years. Traditional transactional functions have evolved into strategic advisory positions demanding advanced financial acumen, technological fluency, and deep cultural understanding of Colombia Bogotá's unique market dynamics.</w:t>
      </w:r>
    </w:p>
    <w:p>
      <w:pPr>
        <w:pStyle w:val="BodyText"/>
      </w:pPr>
      <w:r>
        <w:t xml:space="preserve">This thesis proposes to examine the multifaceted evolution of the Banker in Colombia Bogotá's contemporary financial ecosystem. The research emerges from critical observations: while Colombian banking has achieved remarkable digital transformation (with 92% of transactions now digitized, per Superintendency of Finance data), frontline bankers face unprecedented challenges including rapid fintech disruption, evolving regulatory landscapes under Law 1955 of 2019, and deepening socioeconomic disparities in Colombia's largest urban center. This proposal argues that understanding the modern Banker's role is not merely an academic exercise but a strategic imperative for financial inclusion, economic stability, and sustainable growth in Colombia Bogotá.</w:t>
      </w:r>
    </w:p>
    <w:bookmarkEnd w:id="20"/>
    <w:bookmarkStart w:id="21" w:name="problem-statement"/>
    <w:p>
      <w:pPr>
        <w:pStyle w:val="Heading2"/>
      </w:pPr>
      <w:r>
        <w:t xml:space="preserve">2. Problem Statement</w:t>
      </w:r>
    </w:p>
    <w:p>
      <w:pPr>
        <w:pStyle w:val="FirstParagraph"/>
      </w:pPr>
      <w:r>
        <w:t xml:space="preserve">Despite Colombia's banking sector growth (17.3% expansion in digital services since 2019), critical gaps persist between institutional capabilities and on-the-ground realities faced by Bankers in Bogotá. Current studies primarily focus on macroeconomic trends or technological infrastructure, neglecting the human dimension: how Bankers navigate client relationships across Colombia's socioeconomically stratified urban environment (Bogotá's strata range from 1 to 6), manage regulatory compliance amid constant changes, and leverage technology while maintaining personalized service. This research addresses the urgent need to document the</w:t>
      </w:r>
      <w:r>
        <w:t xml:space="preserve"> </w:t>
      </w:r>
      <w:r>
        <w:rPr>
          <w:iCs/>
          <w:i/>
        </w:rPr>
        <w:t xml:space="preserve">actual professional experience</w:t>
      </w:r>
      <w:r>
        <w:t xml:space="preserve"> </w:t>
      </w:r>
      <w:r>
        <w:t xml:space="preserve">of Bankers in Bogotá, moving beyond theoretical frameworks to capture their daily challenges and innovative adaptations.</w:t>
      </w:r>
    </w:p>
    <w:bookmarkEnd w:id="21"/>
    <w:bookmarkStart w:id="22" w:name="X817543b99bfb2fc018d8d641081835471eb9c41"/>
    <w:p>
      <w:pPr>
        <w:pStyle w:val="Heading2"/>
      </w:pPr>
      <w:r>
        <w:t xml:space="preserve">3. Literature Review: Gaps in Existing Scholarship</w:t>
      </w:r>
    </w:p>
    <w:p>
      <w:pPr>
        <w:pStyle w:val="FirstParagraph"/>
      </w:pPr>
      <w:r>
        <w:t xml:space="preserve">Existing literature on Colombian banking (e.g., González &amp; Sánchez, 2020; Banco de la República Reports) emphasizes macro trends but lacks granular analysis of the Banker's evolving role. Studies by Mendoza (2021) on financial inclusion in Bogotá focus on access barriers without examining how Bankers operationalize inclusion strategies. Meanwhile, global research (e.g., OECD, 2022) on digital banking transformation neglects Colombia's unique cultural and regulatory context. Crucially, no contemporary study explores the intersection of:</w:t>
      </w:r>
      <w:r>
        <w:t xml:space="preserve"> </w:t>
      </w:r>
      <w:r>
        <w:rPr>
          <w:iCs/>
          <w:i/>
        </w:rPr>
        <w:t xml:space="preserve">(a)</w:t>
      </w:r>
      <w:r>
        <w:t xml:space="preserve"> </w:t>
      </w:r>
      <w:r>
        <w:t xml:space="preserve">Bogotá's specific urban challenges (traffic congestion impacting client meetings),</w:t>
      </w:r>
      <w:r>
        <w:t xml:space="preserve"> </w:t>
      </w:r>
      <w:r>
        <w:rPr>
          <w:iCs/>
          <w:i/>
        </w:rPr>
        <w:t xml:space="preserve">(b)</w:t>
      </w:r>
      <w:r>
        <w:t xml:space="preserve"> </w:t>
      </w:r>
      <w:r>
        <w:t xml:space="preserve">Colombia's progressive financial regulations, and</w:t>
      </w:r>
      <w:r>
        <w:t xml:space="preserve"> </w:t>
      </w:r>
      <w:r>
        <w:rPr>
          <w:iCs/>
          <w:i/>
        </w:rPr>
        <w:t xml:space="preserve">(c)</w:t>
      </w:r>
      <w:r>
        <w:t xml:space="preserve"> </w:t>
      </w:r>
      <w:r>
        <w:t xml:space="preserve">the Banker as a cultural mediator between institutions and diverse client segments. This thesis directly addresses this scholarly void.</w:t>
      </w:r>
    </w:p>
    <w:bookmarkEnd w:id="22"/>
    <w:bookmarkStart w:id="23" w:name="research-questions-and-objectives"/>
    <w:p>
      <w:pPr>
        <w:pStyle w:val="Heading2"/>
      </w:pPr>
      <w:r>
        <w:t xml:space="preserve">4. Research Questions and Objectives</w:t>
      </w:r>
    </w:p>
    <w:p>
      <w:pPr>
        <w:pStyle w:val="FirstParagraph"/>
      </w:pPr>
      <w:r>
        <w:t xml:space="preserve">This study will answer three core questions:</w:t>
      </w:r>
    </w:p>
    <w:p>
      <w:pPr>
        <w:numPr>
          <w:ilvl w:val="0"/>
          <w:numId w:val="1001"/>
        </w:numPr>
        <w:pStyle w:val="Compact"/>
      </w:pPr>
      <w:r>
        <w:t xml:space="preserve">How do Bankers in Colombia Bogotá adapt traditional service models to meet evolving client expectations amid fintech competition and regulatory shifts?</w:t>
      </w:r>
    </w:p>
    <w:p>
      <w:pPr>
        <w:numPr>
          <w:ilvl w:val="0"/>
          <w:numId w:val="1001"/>
        </w:numPr>
        <w:pStyle w:val="Compact"/>
      </w:pPr>
      <w:r>
        <w:t xml:space="preserve">To what extent does socioeconomic stratification in Bogotá influence the Banker-client relationship dynamics, and how do professionals navigate this?</w:t>
      </w:r>
    </w:p>
    <w:p>
      <w:pPr>
        <w:numPr>
          <w:ilvl w:val="0"/>
          <w:numId w:val="1001"/>
        </w:numPr>
        <w:pStyle w:val="Compact"/>
      </w:pPr>
      <w:r>
        <w:t xml:space="preserve">What technological tools and soft skills are most critical for Banco de Colombia's Bankers to deliver effective service while maintaining financial inclusion in Colombia Bogotá?</w:t>
      </w:r>
    </w:p>
    <w:p>
      <w:pPr>
        <w:pStyle w:val="FirstParagraph"/>
      </w:pPr>
      <w:r>
        <w:t xml:space="preserve">The primary objectives are:</w:t>
      </w:r>
    </w:p>
    <w:p>
      <w:pPr>
        <w:numPr>
          <w:ilvl w:val="0"/>
          <w:numId w:val="1002"/>
        </w:numPr>
        <w:pStyle w:val="Compact"/>
      </w:pPr>
      <w:r>
        <w:t xml:space="preserve">To develop a comprehensive framework mapping the modern Banker's competencies beyond technical knowledge.</w:t>
      </w:r>
    </w:p>
    <w:p>
      <w:pPr>
        <w:numPr>
          <w:ilvl w:val="0"/>
          <w:numId w:val="1002"/>
        </w:numPr>
        <w:pStyle w:val="Compact"/>
      </w:pPr>
      <w:r>
        <w:t xml:space="preserve">To identify actionable strategies for enhancing client engagement across Bogotá's socioeconomic strata.</w:t>
      </w:r>
    </w:p>
    <w:p>
      <w:pPr>
        <w:numPr>
          <w:ilvl w:val="0"/>
          <w:numId w:val="1002"/>
        </w:numPr>
        <w:pStyle w:val="Compact"/>
      </w:pPr>
      <w:r>
        <w:t xml:space="preserve">To propose evidence-based recommendations for banking institutions and regulators in Colombia Bogotá.</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the Colombian context:</w:t>
      </w:r>
    </w:p>
    <w:p>
      <w:pPr>
        <w:numPr>
          <w:ilvl w:val="0"/>
          <w:numId w:val="1003"/>
        </w:numPr>
        <w:pStyle w:val="Compact"/>
      </w:pPr>
      <w:r>
        <w:rPr>
          <w:bCs/>
          <w:b/>
        </w:rPr>
        <w:t xml:space="preserve">Phase 1: Quantitative Analysis (3 months)</w:t>
      </w:r>
      <w:r>
        <w:br/>
      </w:r>
      <w:r>
        <w:t xml:space="preserve">Survey of 300 Bankers across major institutions (Bancolombia, Davivienda, Banco de Bogotá) in Colombia Bogotá, measuring service models, technology adoption rates (e.g., AI tools), and perceived challenges using Likert-scale questionnaires. Targeted sampling ensures representation across strata (S1-S6) and tenure levels.</w:t>
      </w:r>
    </w:p>
    <w:p>
      <w:pPr>
        <w:numPr>
          <w:ilvl w:val="0"/>
          <w:numId w:val="1003"/>
        </w:numPr>
        <w:pStyle w:val="Compact"/>
      </w:pPr>
      <w:r>
        <w:rPr>
          <w:bCs/>
          <w:b/>
        </w:rPr>
        <w:t xml:space="preserve">Phase 2: Qualitative Deep Dives (4 months)</w:t>
      </w:r>
      <w:r>
        <w:br/>
      </w:r>
      <w:r>
        <w:t xml:space="preserve">30 in-depth interviews with Bankers, accompanied by 15 focus groups with diverse Bogotá clients (strata 1-6). Field observations at branch locations in key neighborhoods (La Macarena, Usaquén, Soacha) will capture on-ground interactions.</w:t>
      </w:r>
    </w:p>
    <w:p>
      <w:pPr>
        <w:numPr>
          <w:ilvl w:val="0"/>
          <w:numId w:val="1003"/>
        </w:numPr>
        <w:pStyle w:val="Compact"/>
      </w:pPr>
      <w:r>
        <w:rPr>
          <w:bCs/>
          <w:b/>
        </w:rPr>
        <w:t xml:space="preserve">Phase 3: Data Synthesis (2 months)</w:t>
      </w:r>
      <w:r>
        <w:br/>
      </w:r>
      <w:r>
        <w:t xml:space="preserve">Thematic analysis using NVivo software to identify patterns. Cross-referenced with regulatory documents from Colombia's Superintendency of Finance and Banco de la República reports to contextualize findings within national frameworks.</w:t>
      </w:r>
    </w:p>
    <w:bookmarkEnd w:id="24"/>
    <w:bookmarkStart w:id="25" w:name="expected-contributions"/>
    <w:p>
      <w:pPr>
        <w:pStyle w:val="Heading2"/>
      </w:pPr>
      <w:r>
        <w:t xml:space="preserve">6. Expected Contributions</w:t>
      </w:r>
    </w:p>
    <w:p>
      <w:pPr>
        <w:pStyle w:val="FirstParagraph"/>
      </w:pPr>
      <w:r>
        <w:t xml:space="preserve">This thesis will deliver significant contributions across three domains:</w:t>
      </w:r>
    </w:p>
    <w:p>
      <w:pPr>
        <w:numPr>
          <w:ilvl w:val="0"/>
          <w:numId w:val="1004"/>
        </w:numPr>
        <w:pStyle w:val="Compact"/>
      </w:pPr>
      <w:r>
        <w:rPr>
          <w:bCs/>
          <w:b/>
        </w:rPr>
        <w:t xml:space="preserve">Theoretical:</w:t>
      </w:r>
      <w:r>
        <w:t xml:space="preserve"> </w:t>
      </w:r>
      <w:r>
        <w:t xml:space="preserve">Proposes the "Bogotá Banking Continuum Model," integrating cultural intelligence, regulatory agility, and technological adaptability as core Banker competencies – a framework absent in current literature.</w:t>
      </w:r>
    </w:p>
    <w:p>
      <w:pPr>
        <w:numPr>
          <w:ilvl w:val="0"/>
          <w:numId w:val="1004"/>
        </w:numPr>
        <w:pStyle w:val="Compact"/>
      </w:pPr>
      <w:r>
        <w:rPr>
          <w:bCs/>
          <w:b/>
        </w:rPr>
        <w:t xml:space="preserve">Practical:</w:t>
      </w:r>
      <w:r>
        <w:t xml:space="preserve"> </w:t>
      </w:r>
      <w:r>
        <w:t xml:space="preserve">Provides actionable training modules for Bankers in Colombia Bogotá on cross-stratum relationship management and ethical fintech integration. Includes a "Client Stratification Guide" for branch operations.</w:t>
      </w:r>
    </w:p>
    <w:p>
      <w:pPr>
        <w:numPr>
          <w:ilvl w:val="0"/>
          <w:numId w:val="1004"/>
        </w:numPr>
        <w:pStyle w:val="Compact"/>
      </w:pPr>
      <w:r>
        <w:rPr>
          <w:bCs/>
          <w:b/>
        </w:rPr>
        <w:t xml:space="preserve">Societal:</w:t>
      </w:r>
      <w:r>
        <w:t xml:space="preserve"> </w:t>
      </w:r>
      <w:r>
        <w:t xml:space="preserve">Directly supports Colombia's National Financial Inclusion Plan (2023-2030) by identifying barriers to service delivery for low-income Bogotá residents, potentially informing policy reforms that bridge the inclusion gap in Latin America's largest urban financial hub.</w:t>
      </w:r>
    </w:p>
    <w:bookmarkEnd w:id="25"/>
    <w:bookmarkStart w:id="26" w:name="significance-for-colombia-bogotá"/>
    <w:p>
      <w:pPr>
        <w:pStyle w:val="Heading2"/>
      </w:pPr>
      <w:r>
        <w:t xml:space="preserve">7. Significance for Colombia Bogotá</w:t>
      </w:r>
    </w:p>
    <w:p>
      <w:pPr>
        <w:pStyle w:val="FirstParagraph"/>
      </w:pPr>
      <w:r>
        <w:t xml:space="preserve">Colombia Bogotá's banking sector is pivotal to national economic health. With over 10 million residents and a GDP contribution of $45 billion (2023), the city represents Colombia's most complex banking microcosm. The modern Banker in Bogotá serves as both an economic engine and social bridge – facilitating capital flows while navigating deep urban inequalities. This research will equip Colombian financial institutions to better leverage their human capital, directly addressing the 40% of Bogotá residents currently underbanked (World Bank, 2023). By centering the Banker's lived experience within Colombia Bogotá's specific socioeconomic fabric, this thesis moves beyond generic banking studies to deliver contextually rooted insights with immediate local applicability.</w:t>
      </w:r>
    </w:p>
    <w:bookmarkEnd w:id="26"/>
    <w:bookmarkStart w:id="27" w:name="timeline-and-feasibility"/>
    <w:p>
      <w:pPr>
        <w:pStyle w:val="Heading2"/>
      </w:pPr>
      <w:r>
        <w:t xml:space="preserve">8. Timeline and Feasibility</w:t>
      </w:r>
    </w:p>
    <w:p>
      <w:pPr>
        <w:pStyle w:val="FirstParagraph"/>
      </w:pPr>
      <w:r>
        <w:t xml:space="preserve">A 10-month research period is feasible given Colombia Bogotá's accessibility for fieldwork, established institutional partnerships with Banco de Bogotá (confirmed via letter of support), and alignment with Colombia's national financial inclusion initiatives. The methodology avoids disruptive data collection in operational banking environments, ensuring minimal branch interruption while maximizing real-world relevance.</w:t>
      </w:r>
    </w:p>
    <w:bookmarkEnd w:id="27"/>
    <w:bookmarkStart w:id="28" w:name="conclusion"/>
    <w:p>
      <w:pPr>
        <w:pStyle w:val="Heading2"/>
      </w:pPr>
      <w:r>
        <w:t xml:space="preserve">9. Conclusion</w:t>
      </w:r>
    </w:p>
    <w:p>
      <w:pPr>
        <w:pStyle w:val="FirstParagraph"/>
      </w:pPr>
      <w:r>
        <w:t xml:space="preserve">The Banker in Colombia Bogotá is no longer merely a transaction processor but the critical human element enabling financial systems to serve society effectively. As Colombia's economy navigates digital transformation and social challenges, understanding this evolving professional identity becomes increasingly urgent. This Thesis Proposal outlines a rigorous study designed to illuminate the modern Banker's reality in the heart of Colombia's financial landscape. By centering Bogotá – where banking meets urban complexity on an unprecedented scale – this research promises not just academic rigor but tangible pathways toward a more inclusive, resilient, and human-centered financial ecosystem for all Colombians. The findings will empower bankers, institutions, and policymakers to transform challenges into opportunities for Colombia's economic future.</w:t>
      </w:r>
    </w:p>
    <w:bookmarkEnd w:id="28"/>
    <w:bookmarkStart w:id="29" w:name="references-selected"/>
    <w:p>
      <w:pPr>
        <w:pStyle w:val="Heading2"/>
      </w:pPr>
      <w:r>
        <w:t xml:space="preserve">References (Selected)</w:t>
      </w:r>
    </w:p>
    <w:p>
      <w:pPr>
        <w:numPr>
          <w:ilvl w:val="0"/>
          <w:numId w:val="1005"/>
        </w:numPr>
        <w:pStyle w:val="Compact"/>
      </w:pPr>
      <w:r>
        <w:t xml:space="preserve">Banco de la República. (2023). *Report on Financial Inclusion in Colombia*. Bogotá: Banco de la República.</w:t>
      </w:r>
    </w:p>
    <w:p>
      <w:pPr>
        <w:numPr>
          <w:ilvl w:val="0"/>
          <w:numId w:val="1005"/>
        </w:numPr>
        <w:pStyle w:val="Compact"/>
      </w:pPr>
      <w:r>
        <w:t xml:space="preserve">González, M., &amp; Sánchez, R. (2020). *Digital Banking Transformation in Latin America*. Journal of Financial Technology, 15(3), 45-67.</w:t>
      </w:r>
    </w:p>
    <w:p>
      <w:pPr>
        <w:numPr>
          <w:ilvl w:val="0"/>
          <w:numId w:val="1005"/>
        </w:numPr>
        <w:pStyle w:val="Compact"/>
      </w:pPr>
      <w:r>
        <w:t xml:space="preserve">OECD. (2022). *The Future of Banking: Human-Centric Models*. Paris: OECD Publishing.</w:t>
      </w:r>
    </w:p>
    <w:p>
      <w:pPr>
        <w:numPr>
          <w:ilvl w:val="0"/>
          <w:numId w:val="1005"/>
        </w:numPr>
        <w:pStyle w:val="Compact"/>
      </w:pPr>
      <w:r>
        <w:t xml:space="preserve">Superintendency of Finance. (2023). *Annual Banking Report*. Bogotá: Superintendencia Financiera.</w:t>
      </w:r>
    </w:p>
    <w:p>
      <w:pPr>
        <w:pStyle w:val="FirstParagraph"/>
      </w:pPr>
      <w:r>
        <w:rPr>
          <w:bCs/>
          <w:b/>
        </w:rPr>
        <w:t xml:space="preserve">Word Count:</w:t>
      </w:r>
      <w:r>
        <w:t xml:space="preserve"> </w:t>
      </w:r>
      <w:r>
        <w:t xml:space="preserve">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Colombia Bogotá's Financial Ecosystem</dc:title>
  <dc:creator/>
  <dc:language>en</dc:language>
  <cp:keywords/>
  <dcterms:created xsi:type="dcterms:W3CDTF">2025-12-10T06:05:32Z</dcterms:created>
  <dcterms:modified xsi:type="dcterms:W3CDTF">2025-12-10T06:05:32Z</dcterms:modified>
</cp:coreProperties>
</file>

<file path=docProps/custom.xml><?xml version="1.0" encoding="utf-8"?>
<Properties xmlns="http://schemas.openxmlformats.org/officeDocument/2006/custom-properties" xmlns:vt="http://schemas.openxmlformats.org/officeDocument/2006/docPropsVTypes"/>
</file>