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Innovating</w:t>
      </w:r>
      <w:r>
        <w:t xml:space="preserve"> </w:t>
      </w:r>
      <w:r>
        <w:t xml:space="preserve">Banking</w:t>
      </w:r>
      <w:r>
        <w:t xml:space="preserve"> </w:t>
      </w:r>
      <w:r>
        <w:t xml:space="preserve">Services</w:t>
      </w:r>
      <w:r>
        <w:t xml:space="preserve"> </w:t>
      </w:r>
      <w:r>
        <w:t xml:space="preserve">for</w:t>
      </w:r>
      <w:r>
        <w:t xml:space="preserve"> </w:t>
      </w:r>
      <w:r>
        <w:t xml:space="preserve">Inclusive</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8" w:name="X60f5b6374c153d3da6678166997afecf974191b"/>
    <w:p>
      <w:pPr>
        <w:pStyle w:val="Heading1"/>
      </w:pPr>
      <w:r>
        <w:t xml:space="preserve">Thesis Proposal: Designing an Integrated Digital-Physical Banker Model for Financial Inclusion in Colombia Medellín</w:t>
      </w:r>
    </w:p>
    <w:bookmarkStart w:id="20" w:name="introduction-and-context"/>
    <w:p>
      <w:pPr>
        <w:pStyle w:val="Heading2"/>
      </w:pPr>
      <w:r>
        <w:t xml:space="preserve">1. Introduction and Context</w:t>
      </w:r>
    </w:p>
    <w:p>
      <w:pPr>
        <w:pStyle w:val="FirstParagraph"/>
      </w:pPr>
      <w:r>
        <w:t xml:space="preserve">This Thesis Proposal addresses a critical gap in Colombia's financial ecosystem, specifically within the rapidly evolving urban landscape of Medellín. As one of Latin America's most dynamic cities undergoing significant socio-economic transformation, Medellín presents a unique case for reimagining banking services. The proposed research centers on developing an innovative "Banker" paradigm—conceptualized as a hybrid digital-physical banking service model—that directly responds to the city's specific challenges and opportunities. Colombia Medellín, recognized for its pioneering social urbanism and recent fintech boom, demands tailored financial solutions that transcend traditional banking frameworks. This Thesis Proposal seeks to design a scalable, community-integrated Banking Service Architecture (BSA) that empowers marginalized neighborhoods while aligning with Medellín's strategic vision for equitable growth.</w:t>
      </w:r>
    </w:p>
    <w:bookmarkEnd w:id="20"/>
    <w:bookmarkStart w:id="21" w:name="problem-statement"/>
    <w:p>
      <w:pPr>
        <w:pStyle w:val="Heading2"/>
      </w:pPr>
      <w:r>
        <w:t xml:space="preserve">2. Problem Statement</w:t>
      </w:r>
    </w:p>
    <w:p>
      <w:pPr>
        <w:pStyle w:val="FirstParagraph"/>
      </w:pPr>
      <w:r>
        <w:t xml:space="preserve">Despite Colombia's national progress in financial inclusion (account penetration rose to 83% by 2023), Medellín exhibits persistent disparities. Informal sector workers (over 50% of the city’s labor force), residents in peripheral communes like Belén, Buenos Aires, and El Poblado, and micro-entrepreneurs face significant barriers: high fees for basic services, limited physical branches in informal settlements, complex digital literacy requirements for mobile banking apps, and distrust stemming from historical exclusion. Existing "Banker" services remain predominantly centralized—relying on brick-and-mortar branches or unadapted digital platforms that ignore Medellín's dense urban fabric and cultural nuances. This gap directly contradicts Medellín's 2035 Strategic Plan, which prioritizes financial inclusion as a pillar for sustainable development. Without context-specific solutions, the city risks perpetuating economic inequality despite its broader innovation success.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Contextual Analysis:</w:t>
      </w:r>
      <w:r>
        <w:t xml:space="preserve"> </w:t>
      </w:r>
      <w:r>
        <w:t xml:space="preserve">Document Medellín's unique socio-economic profile, banking infrastructure gaps, and existing fintech initiatives (e.g., Banco de Bogotá’s "Banco Digital," Cuenta Clara), specifically within low-income communes.</w:t>
      </w:r>
    </w:p>
    <w:p>
      <w:pPr>
        <w:numPr>
          <w:ilvl w:val="0"/>
          <w:numId w:val="1001"/>
        </w:numPr>
        <w:pStyle w:val="Compact"/>
      </w:pPr>
      <w:r>
        <w:rPr>
          <w:bCs/>
          <w:b/>
        </w:rPr>
        <w:t xml:space="preserve">Model Co-Creation:</w:t>
      </w:r>
      <w:r>
        <w:t xml:space="preserve"> </w:t>
      </w:r>
      <w:r>
        <w:t xml:space="preserve">Develop a novel "Banker" service framework integrating mobile-first digital tools with strategically placed physical touchpoints (e.g., community centers, local kiosks) designed *with* residents, not *for* them. This model will prioritize low-cost transactions, financial education in local languages (including indigenous groups), and seamless integration with Medellín’s existing social programs (e.g., "Medellín Crea" for startups).</w:t>
      </w:r>
    </w:p>
    <w:p>
      <w:pPr>
        <w:numPr>
          <w:ilvl w:val="0"/>
          <w:numId w:val="1001"/>
        </w:numPr>
        <w:pStyle w:val="Compact"/>
      </w:pPr>
      <w:r>
        <w:rPr>
          <w:bCs/>
          <w:b/>
        </w:rPr>
        <w:t xml:space="preserve">Validation &amp; Feasibility Assessment:</w:t>
      </w:r>
      <w:r>
        <w:t xml:space="preserve"> </w:t>
      </w:r>
      <w:r>
        <w:t xml:space="preserve">Test the proposed BSA through a 6-month pilot in three Medellín communes, measuring usability, adoption rates, and impact on financial resilience using mixed methods (surveys, focus groups, transaction data analysis).</w:t>
      </w:r>
    </w:p>
    <w:bookmarkEnd w:id="22"/>
    <w:bookmarkStart w:id="23" w:name="X655edc35e3f6edccd303ffba9f3360a1ca00b5b"/>
    <w:p>
      <w:pPr>
        <w:pStyle w:val="Heading2"/>
      </w:pPr>
      <w:r>
        <w:t xml:space="preserve">4. Significance of the Thesis Proposal for Colombia Medellín</w:t>
      </w:r>
    </w:p>
    <w:p>
      <w:pPr>
        <w:pStyle w:val="FirstParagraph"/>
      </w:pPr>
      <w:r>
        <w:t xml:space="preserve">This Thesis Proposal is vital for Colombia Medellín because it moves beyond generic banking solutions to address the city's identity as a "laboratory of social innovation." Unlike studies focused on Bogotá or Cali, this research centers Medellín’s specific urban challenges—its mountainous geography limiting branch access, vibrant *comercio informal* (street markets), and strong community governance structures. The proposed "Banker" model directly supports Medellín’s</w:t>
      </w:r>
      <w:r>
        <w:t xml:space="preserve"> </w:t>
      </w:r>
      <w:r>
        <w:rPr>
          <w:iCs/>
          <w:i/>
        </w:rPr>
        <w:t xml:space="preserve">Plan de Desarrollo 2024-2027</w:t>
      </w:r>
      <w:r>
        <w:t xml:space="preserve">, which aims to reduce exclusion by 30%. Success would provide a replicable blueprint for Colombia's other cities (e.g., Cartagena, Bucaramanga) and position Medellín as a global leader in context-driven financial inclusion. Critically, it reframes the "Banker" from a passive service provider to an active community partner—embedding financial health within Medellín’s social fabric.</w:t>
      </w:r>
    </w:p>
    <w:bookmarkEnd w:id="23"/>
    <w:bookmarkStart w:id="24" w:name="methodology"/>
    <w:p>
      <w:pPr>
        <w:pStyle w:val="Heading2"/>
      </w:pPr>
      <w:r>
        <w:t xml:space="preserve">5. Methodology</w:t>
      </w:r>
    </w:p>
    <w:p>
      <w:pPr>
        <w:pStyle w:val="FirstParagraph"/>
      </w:pPr>
      <w:r>
        <w:t xml:space="preserve">The Thesis Proposal employs a participatory action research (PAR) methodology, ensuring Medellín residents co-design the solution. Phase 1 (3 months): Desk research on Colombia's financial regulations (SFC guidelines), Medellín’s urban data, and comparative case studies from cities like Nairobi (M-Pesa) and São Paulo. Phase 2 (4 months): Fieldwork across 5 communes using ethnographic mapping, stakeholder interviews with community leaders, micro-entrepreneurs, and local bank staff. Phase 3 (6 months): Iterative prototyping of the BSA with a focus group of 100 residents; pilot implementation in selected zones. Quantitative metrics include transaction volume changes and cost reductions; qualitative analysis explores shifts in financial confidence via structured interviews. All data will be analyzed using NVivo for thematic coding, ensuring cultural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w:t>
      </w:r>
    </w:p>
    <w:p>
      <w:pPr>
        <w:numPr>
          <w:ilvl w:val="0"/>
          <w:numId w:val="1002"/>
        </w:numPr>
        <w:pStyle w:val="Compact"/>
      </w:pPr>
      <w:r>
        <w:rPr>
          <w:bCs/>
          <w:b/>
        </w:rPr>
        <w:t xml:space="preserve">Theoretical:</w:t>
      </w:r>
      <w:r>
        <w:t xml:space="preserve"> </w:t>
      </w:r>
      <w:r>
        <w:t xml:space="preserve">Advances "place-based banking" theory by validating Medellín as a critical case study for inclusive finance in Latin American urban contexts.</w:t>
      </w:r>
    </w:p>
    <w:p>
      <w:pPr>
        <w:numPr>
          <w:ilvl w:val="0"/>
          <w:numId w:val="1002"/>
        </w:numPr>
        <w:pStyle w:val="Compact"/>
      </w:pPr>
      <w:r>
        <w:rPr>
          <w:bCs/>
          <w:b/>
        </w:rPr>
        <w:t xml:space="preserve">Practical:</w:t>
      </w:r>
      <w:r>
        <w:t xml:space="preserve"> </w:t>
      </w:r>
      <w:r>
        <w:t xml:space="preserve">Delivers a deployable BSA prototype for banks (e.g., Davivienda, Bancolombia) operating in Medellín, with clear implementation pathways. Includes training modules for local "community banker" ambassadors.</w:t>
      </w:r>
    </w:p>
    <w:p>
      <w:pPr>
        <w:numPr>
          <w:ilvl w:val="0"/>
          <w:numId w:val="1002"/>
        </w:numPr>
        <w:pStyle w:val="Compact"/>
      </w:pPr>
      <w:r>
        <w:rPr>
          <w:bCs/>
          <w:b/>
        </w:rPr>
        <w:t xml:space="preserve">Social:</w:t>
      </w:r>
      <w:r>
        <w:t xml:space="preserve"> </w:t>
      </w:r>
      <w:r>
        <w:t xml:space="preserve">Directly empowers 5,000+ Medellín residents (targeting women and youth) by reducing transaction costs by 40% and increasing savings rates through culturally resonant education.</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urban mapping, stakeholder identification in Colombia Medellín.</w:t>
      </w:r>
      <w:r>
        <w:br/>
      </w:r>
      <w:r>
        <w:rPr>
          <w:bCs/>
          <w:b/>
        </w:rPr>
        <w:t xml:space="preserve">Months 4-6:</w:t>
      </w:r>
      <w:r>
        <w:t xml:space="preserve"> </w:t>
      </w:r>
      <w:r>
        <w:t xml:space="preserve">Field research &amp; co-design workshops with residents and local banks.</w:t>
      </w:r>
      <w:r>
        <w:br/>
      </w:r>
      <w:r>
        <w:rPr>
          <w:bCs/>
          <w:b/>
        </w:rPr>
        <w:t xml:space="preserve">Months 7-9:</w:t>
      </w:r>
      <w:r>
        <w:t xml:space="preserve"> </w:t>
      </w:r>
      <w:r>
        <w:t xml:space="preserve">BSA prototype development and ethical approval processes.</w:t>
      </w:r>
      <w:r>
        <w:br/>
      </w:r>
      <w:r>
        <w:rPr>
          <w:bCs/>
          <w:b/>
        </w:rPr>
        <w:t xml:space="preserve">Months 10-12:</w:t>
      </w:r>
      <w:r>
        <w:t xml:space="preserve"> </w:t>
      </w:r>
      <w:r>
        <w:t xml:space="preserve">Pilot launch, data collection, iterative refinement.</w:t>
      </w:r>
      <w:r>
        <w:br/>
      </w:r>
      <w:r>
        <w:rPr>
          <w:bCs/>
          <w:b/>
        </w:rPr>
        <w:t xml:space="preserve">Months 13-15:</w:t>
      </w:r>
      <w:r>
        <w:t xml:space="preserve"> </w:t>
      </w:r>
      <w:r>
        <w:t xml:space="preserve">Analysis, thesis writing, stakeholder presentation to Medellín City Council and financial regulators.</w:t>
      </w:r>
    </w:p>
    <w:bookmarkEnd w:id="26"/>
    <w:bookmarkStart w:id="27" w:name="conclusion"/>
    <w:p>
      <w:pPr>
        <w:pStyle w:val="Heading2"/>
      </w:pPr>
      <w:r>
        <w:t xml:space="preserve">8. Conclusion</w:t>
      </w:r>
    </w:p>
    <w:p>
      <w:pPr>
        <w:pStyle w:val="FirstParagraph"/>
      </w:pPr>
      <w:r>
        <w:t xml:space="preserve">This Thesis Proposal establishes a compelling case for redefining the "Banker" in Colombia Medellín—a city at the intersection of innovation and inequality. By embedding financial services within the daily realities of its diverse communities, this research transcends traditional banking to foster genuine inclusion. The proposed Banking Service Architecture is not merely a technological upgrade but a socio-urban strategy that aligns with Medellín’s legacy as a catalyst for positive change in Colombia. Through rigorous, community-centered methodology, this Thesis Proposal will deliver actionable insights and a scalable model poised to transform how the "Banker" serves the people of Colombia Medellín. In doing so, it contributes not only to academic discourse but directly to making Medellín’s growth more equitable, sustainable, and human-centered.</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Innovating Banking Services for Inclusive Growth in Colombia Medellín</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