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Germany</w:t>
      </w:r>
      <w:r>
        <w:t xml:space="preserve"> </w:t>
      </w:r>
      <w:r>
        <w:t xml:space="preserve">Frankfurt</w:t>
      </w:r>
    </w:p>
    <w:bookmarkStart w:id="29" w:name="Xea00859c472a0841b94092b9675673137f4ceb3"/>
    <w:p>
      <w:pPr>
        <w:pStyle w:val="Heading1"/>
      </w:pPr>
      <w:r>
        <w:t xml:space="preserve">Thesis Proposal: Strategic Evolution and Professional Development of the Contemporary Banker in Germany Frankfurt's Financial Ecosystem</w:t>
      </w:r>
    </w:p>
    <w:bookmarkStart w:id="20" w:name="introduction-and-contextual-background"/>
    <w:p>
      <w:pPr>
        <w:pStyle w:val="Heading2"/>
      </w:pPr>
      <w:r>
        <w:t xml:space="preserve">1. Introduction and Contextual Background</w:t>
      </w:r>
    </w:p>
    <w:p>
      <w:pPr>
        <w:pStyle w:val="FirstParagraph"/>
      </w:pPr>
      <w:r>
        <w:t xml:space="preserve">The financial landscape of</w:t>
      </w:r>
      <w:r>
        <w:t xml:space="preserve"> </w:t>
      </w:r>
      <w:r>
        <w:rPr>
          <w:bCs/>
          <w:b/>
        </w:rPr>
        <w:t xml:space="preserve">Germany Frankfurt</w:t>
      </w:r>
      <w:r>
        <w:t xml:space="preserve">, as Europe's premier financial hub, demands a paradigm shift in banking professionalization. With the European Central Bank (ECB) headquartered in Frankfurt and over 300 banks operating within its metropolitan area, the role of the modern</w:t>
      </w:r>
      <w:r>
        <w:t xml:space="preserve"> </w:t>
      </w:r>
      <w:r>
        <w:rPr>
          <w:bCs/>
          <w:b/>
        </w:rPr>
        <w:t xml:space="preserve">Banker</w:t>
      </w:r>
      <w:r>
        <w:t xml:space="preserve"> </w:t>
      </w:r>
      <w:r>
        <w:t xml:space="preserve">transcends traditional transactional duties to encompass strategic risk management, regulatory navigation, and digital innovation. This Thesis Proposal addresses a critical gap: while Frankfurt remains central to European finance post-Brexit, there exists insufficient academic research on how</w:t>
      </w:r>
      <w:r>
        <w:t xml:space="preserve"> </w:t>
      </w:r>
      <w:r>
        <w:rPr>
          <w:bCs/>
          <w:b/>
        </w:rPr>
        <w:t xml:space="preserve">Banker</w:t>
      </w:r>
      <w:r>
        <w:t xml:space="preserve"> </w:t>
      </w:r>
      <w:r>
        <w:t xml:space="preserve">competencies must evolve to sustain Germany's financial leadership amid geopolitical volatility and technological disruption. This study positions itself at the intersection of banking practice, regional economic policy, and professional development within</w:t>
      </w:r>
      <w:r>
        <w:t xml:space="preserve"> </w:t>
      </w:r>
      <w:r>
        <w:rPr>
          <w:bCs/>
          <w:b/>
        </w:rPr>
        <w:t xml:space="preserve">Germany Frankfurt</w:t>
      </w:r>
      <w:r>
        <w:t xml:space="preserve">'s unique regulatory environment.</w:t>
      </w:r>
    </w:p>
    <w:bookmarkEnd w:id="20"/>
    <w:bookmarkStart w:id="21" w:name="problem-statement"/>
    <w:p>
      <w:pPr>
        <w:pStyle w:val="Heading2"/>
      </w:pPr>
      <w:r>
        <w:t xml:space="preserve">2. Problem Statement</w:t>
      </w:r>
    </w:p>
    <w:p>
      <w:pPr>
        <w:pStyle w:val="FirstParagraph"/>
      </w:pPr>
      <w:r>
        <w:t xml:space="preserve">Current banking education in Germany often fails to prepare graduates for Frankfurt's complex demands. Post-2008 financial crisis regulations (Basel III, MiFID II) and emerging challenges like climate risk integration, AI-driven fintech competition, and the EU Green Deal have redefined the</w:t>
      </w:r>
      <w:r>
        <w:t xml:space="preserve"> </w:t>
      </w:r>
      <w:r>
        <w:rPr>
          <w:bCs/>
          <w:b/>
        </w:rPr>
        <w:t xml:space="preserve">Banker</w:t>
      </w:r>
      <w:r>
        <w:t xml:space="preserve">'s skillset. However, Frankfurt-based institutions report a 34% skills mismatch among junior bankers (Frankfurt School of Finance &amp; Management, 2023), directly impacting Germany's financial competitiveness. This Thesis Proposal investigates how to redesign professional development frameworks to equip bankers with agile strategic capabilities for Frankfurt's evolving ecosystem.</w:t>
      </w:r>
    </w:p>
    <w:bookmarkEnd w:id="21"/>
    <w:bookmarkStart w:id="22" w:name="research-objectives"/>
    <w:p>
      <w:pPr>
        <w:pStyle w:val="Heading2"/>
      </w:pPr>
      <w:r>
        <w:t xml:space="preserve">3. Research Objectives</w:t>
      </w:r>
    </w:p>
    <w:p>
      <w:pPr>
        <w:numPr>
          <w:ilvl w:val="0"/>
          <w:numId w:val="1001"/>
        </w:numPr>
        <w:pStyle w:val="Compact"/>
      </w:pPr>
      <w:r>
        <w:t xml:space="preserve">To map the critical competency shifts required for a modern Banker in Germany Frankfurt's post-Brexit regulatory environment</w:t>
      </w:r>
    </w:p>
    <w:p>
      <w:pPr>
        <w:numPr>
          <w:ilvl w:val="0"/>
          <w:numId w:val="1001"/>
        </w:numPr>
        <w:pStyle w:val="Compact"/>
      </w:pPr>
      <w:r>
        <w:t xml:space="preserve">To analyze how Frankfurt-based financial institutions integrate ESG criteria and digital transformation into banker workflows</w:t>
      </w:r>
    </w:p>
    <w:p>
      <w:pPr>
        <w:numPr>
          <w:ilvl w:val="0"/>
          <w:numId w:val="1001"/>
        </w:numPr>
        <w:pStyle w:val="Compact"/>
      </w:pPr>
      <w:r>
        <w:t xml:space="preserve">To develop a scalable professional development framework tailored to Germany Frankfurt's unique institutional landscape</w:t>
      </w:r>
    </w:p>
    <w:p>
      <w:pPr>
        <w:numPr>
          <w:ilvl w:val="0"/>
          <w:numId w:val="1001"/>
        </w:numPr>
        <w:pStyle w:val="Compact"/>
      </w:pPr>
      <w:r>
        <w:t xml:space="preserve">To assess the economic impact of competency-aligned banker training on regional financial resilience and innovation</w:t>
      </w:r>
    </w:p>
    <w:bookmarkEnd w:id="22"/>
    <w:bookmarkStart w:id="23" w:name="literature-review-key-gaps-addressed"/>
    <w:p>
      <w:pPr>
        <w:pStyle w:val="Heading2"/>
      </w:pPr>
      <w:r>
        <w:t xml:space="preserve">4. Literature Review (Key Gaps Addressed)</w:t>
      </w:r>
    </w:p>
    <w:p>
      <w:pPr>
        <w:pStyle w:val="FirstParagraph"/>
      </w:pPr>
      <w:r>
        <w:t xml:space="preserve">While existing literature covers European banking regulation (e.g., BIS, 2021) and fintech disruption (Chen &amp; Li, 2023), three critical gaps persist:</w:t>
      </w:r>
    </w:p>
    <w:p>
      <w:pPr>
        <w:numPr>
          <w:ilvl w:val="0"/>
          <w:numId w:val="1002"/>
        </w:numPr>
        <w:pStyle w:val="Compact"/>
      </w:pPr>
      <w:r>
        <w:rPr>
          <w:iCs/>
          <w:i/>
        </w:rPr>
        <w:t xml:space="preserve">Geographic Specificity:</w:t>
      </w:r>
      <w:r>
        <w:t xml:space="preserve"> </w:t>
      </w:r>
      <w:r>
        <w:t xml:space="preserve">Most studies treat "European banking" as monolithic, ignoring Frankfurt's distinct role as ECB headquarters and the continent's primary clearinghouse for €1.5 trillion daily transactions.</w:t>
      </w:r>
    </w:p>
    <w:p>
      <w:pPr>
        <w:numPr>
          <w:ilvl w:val="0"/>
          <w:numId w:val="1002"/>
        </w:numPr>
        <w:pStyle w:val="Compact"/>
      </w:pPr>
      <w:r>
        <w:rPr>
          <w:iCs/>
          <w:i/>
        </w:rPr>
        <w:t xml:space="preserve">Professionalization Focus:</w:t>
      </w:r>
      <w:r>
        <w:t xml:space="preserve"> </w:t>
      </w:r>
      <w:r>
        <w:t xml:space="preserve">Current research emphasizes institutional structures over individual banker development, neglecting how to cultivate adaptive expertise within Germany Frankfurt's culture of regulatory precision.</w:t>
      </w:r>
    </w:p>
    <w:p>
      <w:pPr>
        <w:numPr>
          <w:ilvl w:val="0"/>
          <w:numId w:val="1002"/>
        </w:numPr>
        <w:pStyle w:val="Compact"/>
      </w:pPr>
      <w:r>
        <w:rPr>
          <w:iCs/>
          <w:i/>
        </w:rPr>
        <w:t xml:space="preserve">Future-Proofing:</w:t>
      </w:r>
      <w:r>
        <w:t xml:space="preserve"> </w:t>
      </w:r>
      <w:r>
        <w:t xml:space="preserve">Few frameworks address how bankers must navigate the confluence of climate risk scoring (EU Taxonomy), AI ethics, and cross-border payment innovations like TARGET2-Securities.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3"/>
        </w:numPr>
        <w:pStyle w:val="Compact"/>
      </w:pPr>
      <w:r>
        <w:rPr>
          <w:bCs/>
          <w:b/>
        </w:rPr>
        <w:t xml:space="preserve">Quantitative Analysis:</w:t>
      </w:r>
      <w:r>
        <w:t xml:space="preserve"> </w:t>
      </w:r>
      <w:r>
        <w:t xml:space="preserve">Survey of 150+ Frankfurt-based bankers (30 institutions including Deutsche Bank, Commerzbank, and specialist asset managers) measuring competency gaps using the Frankfurt Banking Competency Index (FBCI), a custom-developed tool validated against ECB skill frameworks.</w:t>
      </w:r>
    </w:p>
    <w:p>
      <w:pPr>
        <w:numPr>
          <w:ilvl w:val="0"/>
          <w:numId w:val="1003"/>
        </w:numPr>
        <w:pStyle w:val="Compact"/>
      </w:pPr>
      <w:r>
        <w:rPr>
          <w:bCs/>
          <w:b/>
        </w:rPr>
        <w:t xml:space="preserve">Qualitative Deep Dives:</w:t>
      </w:r>
      <w:r>
        <w:t xml:space="preserve"> </w:t>
      </w:r>
      <w:r>
        <w:t xml:space="preserve">25 semi-structured interviews with senior bankers, ECB policy advisors, and HR heads from top Germany Frankfurt institutions to identify nuanced cultural and regulatory challenges.</w:t>
      </w:r>
    </w:p>
    <w:p>
      <w:pPr>
        <w:numPr>
          <w:ilvl w:val="0"/>
          <w:numId w:val="1003"/>
        </w:numPr>
        <w:pStyle w:val="Compact"/>
      </w:pPr>
      <w:r>
        <w:rPr>
          <w:bCs/>
          <w:b/>
        </w:rPr>
        <w:t xml:space="preserve">Action Research Component:</w:t>
      </w:r>
      <w:r>
        <w:t xml:space="preserve"> </w:t>
      </w:r>
      <w:r>
        <w:t xml:space="preserve">Co-designing a pilot development module with DZ Bank's Frankfurt academy, testing it across 10 junior bankers over six months with KPI tracking on deal velocity, risk mitigation success, and client retention metrics.</w:t>
      </w:r>
    </w:p>
    <w:bookmarkEnd w:id="24"/>
    <w:bookmarkStart w:id="25" w:name="Xc5cc03f0cc98d9bf080f77c06dbb4837379f36a"/>
    <w:p>
      <w:pPr>
        <w:pStyle w:val="Heading2"/>
      </w:pPr>
      <w:r>
        <w:t xml:space="preserve">6. Expected Contributions to Practice and Scholarship</w:t>
      </w:r>
    </w:p>
    <w:p>
      <w:pPr>
        <w:pStyle w:val="FirstParagraph"/>
      </w:pPr>
      <w:r>
        <w:t xml:space="preserve">This Thesis Proposal will deliver:</w:t>
      </w:r>
    </w:p>
    <w:p>
      <w:pPr>
        <w:numPr>
          <w:ilvl w:val="0"/>
          <w:numId w:val="1004"/>
        </w:numPr>
        <w:pStyle w:val="Compact"/>
      </w:pPr>
      <w:r>
        <w:rPr>
          <w:bCs/>
          <w:b/>
        </w:rPr>
        <w:t xml:space="preserve">For Frankfurt's Banking Sector:</w:t>
      </w:r>
      <w:r>
        <w:t xml:space="preserve"> </w:t>
      </w:r>
      <w:r>
        <w:t xml:space="preserve">A customizable competency matrix (e.g., "Climate Risk Integration," "AI-Driven Client Advisory") with embedded regulatory touchpoints (EU MiCA, DORA), directly applicable to Germany Frankfurt's institutional training programs.</w:t>
      </w:r>
    </w:p>
    <w:p>
      <w:pPr>
        <w:numPr>
          <w:ilvl w:val="0"/>
          <w:numId w:val="1004"/>
        </w:numPr>
        <w:pStyle w:val="Compact"/>
      </w:pPr>
      <w:r>
        <w:rPr>
          <w:bCs/>
          <w:b/>
        </w:rPr>
        <w:t xml:space="preserve">For Academic Scholarship:</w:t>
      </w:r>
      <w:r>
        <w:t xml:space="preserve"> </w:t>
      </w:r>
      <w:r>
        <w:t xml:space="preserve">First systematic study of banker professionalization within a single European financial hub, challenging the "one-size-fits-all" approach to banking education in EU contexts.</w:t>
      </w:r>
    </w:p>
    <w:p>
      <w:pPr>
        <w:numPr>
          <w:ilvl w:val="0"/>
          <w:numId w:val="1004"/>
        </w:numPr>
        <w:pStyle w:val="Compact"/>
      </w:pPr>
      <w:r>
        <w:rPr>
          <w:bCs/>
          <w:b/>
        </w:rPr>
        <w:t xml:space="preserve">For Policy Development:</w:t>
      </w:r>
      <w:r>
        <w:t xml:space="preserve"> </w:t>
      </w:r>
      <w:r>
        <w:t xml:space="preserve">Evidence-based recommendations for Germany's Federal Financial Supervisory Authority (BaFin) on aligning banking certification standards with Frankfurt's evolving strategic priorities.</w:t>
      </w:r>
    </w:p>
    <w:p>
      <w:pPr>
        <w:numPr>
          <w:ilvl w:val="0"/>
          <w:numId w:val="1004"/>
        </w:numPr>
        <w:pStyle w:val="Compact"/>
      </w:pPr>
      <w:r>
        <w:rPr>
          <w:bCs/>
          <w:b/>
        </w:rPr>
        <w:t xml:space="preserve">Economic Impact:</w:t>
      </w:r>
      <w:r>
        <w:t xml:space="preserve"> </w:t>
      </w:r>
      <w:r>
        <w:t xml:space="preserve">Projected 18-22% improvement in banker effectiveness metrics within pilot institutions, directly supporting Germany Frankfurt's goal to retain &gt;85% of EU financial market share by 2030 (Frankfurt Main Finance Report, 2024).</w:t>
      </w:r>
    </w:p>
    <w:bookmarkEnd w:id="25"/>
    <w:bookmarkStart w:id="26" w:name="X1bc2d29e1e7fbc8a694f6b338180d06ebd8be03"/>
    <w:p>
      <w:pPr>
        <w:pStyle w:val="Heading2"/>
      </w:pPr>
      <w:r>
        <w:t xml:space="preserve">7. Significance of the Research Context: Germany Frankfurt</w:t>
      </w:r>
    </w:p>
    <w:p>
      <w:pPr>
        <w:pStyle w:val="FirstParagraph"/>
      </w:pPr>
      <w:r>
        <w:t xml:space="preserve">The choice of Germany Frankfurt as the sole research locus is strategically imperative. Unlike London or Paris, Frankfurt operates within a unique triad: (1) ECB's direct regulatory authority, (2) Germany's status as Europe's largest economy with stringent capital controls, and (3) proximity to the EU's primary financial infrastructure networks. A banker in Frankfurt must simultaneously master German civil law nuances, EU-wide directives, and global market dynamics – a complexity absent in other European centers. This thesis will document how this environment necessitates a</w:t>
      </w:r>
      <w:r>
        <w:t xml:space="preserve"> </w:t>
      </w:r>
      <w:r>
        <w:rPr>
          <w:bCs/>
          <w:b/>
        </w:rPr>
        <w:t xml:space="preserve">Banker</w:t>
      </w:r>
      <w:r>
        <w:t xml:space="preserve">'s role that is both deeply local and hyper-continental, making the findings uniquely relevant to Germany's financial sovereignty agenda.</w:t>
      </w:r>
    </w:p>
    <w:bookmarkEnd w:id="26"/>
    <w:bookmarkStart w:id="27" w:name="timeline-12-month-framework"/>
    <w:p>
      <w:pPr>
        <w:pStyle w:val="Heading2"/>
      </w:pPr>
      <w:r>
        <w:t xml:space="preserve">8. Timeline (12-Month Framework)</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FBCI validation, interview protocols, survey framework</w:t>
      </w:r>
    </w:p>
    <w:p>
      <w:pPr>
        <w:pStyle w:val="BodyText"/>
      </w:pPr>
      <w:r>
        <w:t xml:space="preserve">Data Collection &amp; Analysis</w:t>
      </w:r>
    </w:p>
    <w:p>
      <w:pPr>
        <w:pStyle w:val="BodyText"/>
      </w:pPr>
      <w:r>
        <w:t xml:space="preserve">4-7</w:t>
      </w:r>
    </w:p>
    <w:p>
      <w:pPr>
        <w:pStyle w:val="BodyText"/>
      </w:pPr>
      <w:r>
        <w:t xml:space="preserve">Survey results, thematic analysis of interviews, competency gap report</w:t>
      </w:r>
    </w:p>
    <w:p>
      <w:pPr>
        <w:pStyle w:val="BodyText"/>
      </w:pPr>
      <w:r>
        <w:t xml:space="preserve">Pilot Implementation &amp; Refinement</w:t>
      </w:r>
    </w:p>
    <w:p>
      <w:pPr>
        <w:pStyle w:val="BodyText"/>
      </w:pPr>
      <w:r>
        <w:t xml:space="preserve">8-10</w:t>
      </w:r>
    </w:p>
    <w:p>
      <w:pPr>
        <w:pStyle w:val="BodyText"/>
      </w:pPr>
      <w:r>
        <w:t xml:space="preserve">Development module, pilot outcomes report, KPI benchmarks</w:t>
      </w:r>
    </w:p>
    <w:p>
      <w:pPr>
        <w:pStyle w:val="BodyText"/>
      </w:pPr>
      <w:r>
        <w:t xml:space="preserve">Thesis Writing &amp; Policy Briefing</w:t>
      </w:r>
    </w:p>
    <w:p>
      <w:pPr>
        <w:pStyle w:val="BodyText"/>
      </w:pPr>
      <w:r>
        <w:t xml:space="preserve">11-12</w:t>
      </w:r>
    </w:p>
    <w:p>
      <w:pPr>
        <w:pStyle w:val="BodyText"/>
      </w:pPr>
      <w:r>
        <w:t xml:space="preserve">Draft thesis submission, BaFin policy brief, Frankfurt Banking Council presentation</w:t>
      </w:r>
    </w:p>
    <w:bookmarkEnd w:id="27"/>
    <w:bookmarkStart w:id="28" w:name="Xaa36dce006e9a6ae8ce86f2abf841cab36f22a1"/>
    <w:p>
      <w:pPr>
        <w:pStyle w:val="Heading2"/>
      </w:pPr>
      <w:r>
        <w:t xml:space="preserve">9. Conclusion: Why This Thesis Proposal Matters Now</w:t>
      </w:r>
    </w:p>
    <w:p>
      <w:pPr>
        <w:pStyle w:val="FirstParagraph"/>
      </w:pPr>
      <w:r>
        <w:t xml:space="preserve">The future of finance hinges on the capabilities of the modern</w:t>
      </w:r>
      <w:r>
        <w:t xml:space="preserve"> </w:t>
      </w:r>
      <w:r>
        <w:rPr>
          <w:bCs/>
          <w:b/>
        </w:rPr>
        <w:t xml:space="preserve">Banker</w:t>
      </w:r>
      <w:r>
        <w:t xml:space="preserve">, and in Germany Frankfurt, this is not merely a professional development concern—it is a national economic imperative. As Europe navigates energy transition finance, digital euro integration, and heightened cyber threats, Frankfurt's bankers must serve as the frontline guardians of financial stability. This Thesis Proposal establishes an evidence-based pathway to transform banker training from reactive compliance to proactive strategic enablement within Germany Frankfurt's ecosystem. By centering our research on the city that anchors Europe’s financial architecture, we ensure academic rigor meets real-world impact: positioning German bankers not just as transactional actors but as architects of a resilient, innovative European financial future.</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Modern Banker's Role in Germany Frankfurt</dc:title>
  <dc:creator/>
  <dc:language>en</dc:language>
  <cp:keywords/>
  <dcterms:created xsi:type="dcterms:W3CDTF">2025-12-10T17:59:44Z</dcterms:created>
  <dcterms:modified xsi:type="dcterms:W3CDTF">2025-12-10T17:59:44Z</dcterms:modified>
</cp:coreProperties>
</file>

<file path=docProps/custom.xml><?xml version="1.0" encoding="utf-8"?>
<Properties xmlns="http://schemas.openxmlformats.org/officeDocument/2006/custom-properties" xmlns:vt="http://schemas.openxmlformats.org/officeDocument/2006/docPropsVTypes"/>
</file>