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p>
    <w:bookmarkStart w:id="30" w:name="X9c9c2a70dc95525285f27bf9677568226fc5880"/>
    <w:p>
      <w:pPr>
        <w:pStyle w:val="Heading1"/>
      </w:pPr>
      <w:r>
        <w:t xml:space="preserve">Thesis Proposal: The Evolving Role of the Modern Banker in Germany Munich's Financial Ecosystem</w:t>
      </w:r>
    </w:p>
    <w:bookmarkStart w:id="20" w:name="introduction-and-context"/>
    <w:p>
      <w:pPr>
        <w:pStyle w:val="Heading2"/>
      </w:pPr>
      <w:r>
        <w:t xml:space="preserve">1. Introduction and Context</w:t>
      </w:r>
    </w:p>
    <w:p>
      <w:pPr>
        <w:pStyle w:val="FirstParagraph"/>
      </w:pPr>
      <w:r>
        <w:t xml:space="preserve">The financial landscape of Germany Munich represents a dynamic nexus where traditional banking principles converge with cutting-edge digital innovation. As one of Europe's most significant financial hubs outside Frankfurt, Munich hosts major institutions including Deutsche Bank's private banking division, HypoVereinsbank, and numerous specialized FinTech startups. This Thesis Proposal examines the transformation of the</w:t>
      </w:r>
      <w:r>
        <w:t xml:space="preserve"> </w:t>
      </w:r>
      <w:r>
        <w:rPr>
          <w:iCs/>
          <w:i/>
        </w:rPr>
        <w:t xml:space="preserve">Banker</w:t>
      </w:r>
      <w:r>
        <w:t xml:space="preserve"> </w:t>
      </w:r>
      <w:r>
        <w:t xml:space="preserve">role within this unique environment, arguing that the contemporary</w:t>
      </w:r>
      <w:r>
        <w:t xml:space="preserve"> </w:t>
      </w:r>
      <w:r>
        <w:rPr>
          <w:iCs/>
          <w:i/>
        </w:rPr>
        <w:t xml:space="preserve">Banker</w:t>
      </w:r>
      <w:r>
        <w:t xml:space="preserve"> </w:t>
      </w:r>
      <w:r>
        <w:t xml:space="preserve">in</w:t>
      </w:r>
      <w:r>
        <w:t xml:space="preserve"> </w:t>
      </w:r>
      <w:r>
        <w:rPr>
          <w:bCs/>
          <w:b/>
        </w:rPr>
        <w:t xml:space="preserve">Germany Munich</w:t>
      </w:r>
      <w:r>
        <w:t xml:space="preserve"> </w:t>
      </w:r>
      <w:r>
        <w:t xml:space="preserve">must now master a triad of competencies: deep regulatory expertise under German and EU frameworks, advanced digital literacy, and sophisticated ESG (Environmental, Social, Governance) integration. The rapid evolution of banking services—from legacy branch operations to AI-driven wealth management—demands a redefinition of professional standards for the</w:t>
      </w:r>
      <w:r>
        <w:t xml:space="preserve"> </w:t>
      </w:r>
      <w:r>
        <w:rPr>
          <w:iCs/>
          <w:i/>
        </w:rPr>
        <w:t xml:space="preserve">Banker</w:t>
      </w:r>
      <w:r>
        <w:t xml:space="preserve"> </w:t>
      </w:r>
      <w:r>
        <w:t xml:space="preserve">in this pivotal German city.</w:t>
      </w:r>
    </w:p>
    <w:bookmarkEnd w:id="20"/>
    <w:bookmarkStart w:id="21" w:name="problem-statement"/>
    <w:p>
      <w:pPr>
        <w:pStyle w:val="Heading2"/>
      </w:pPr>
      <w:r>
        <w:t xml:space="preserve">2. Problem Statement</w:t>
      </w:r>
    </w:p>
    <w:p>
      <w:pPr>
        <w:pStyle w:val="FirstParagraph"/>
      </w:pPr>
      <w:r>
        <w:t xml:space="preserve">While Munich's financial sector accounts for over 15% of Bavaria's GDP, a critical gap exists in understanding how the traditional</w:t>
      </w:r>
      <w:r>
        <w:t xml:space="preserve"> </w:t>
      </w:r>
      <w:r>
        <w:rPr>
          <w:iCs/>
          <w:i/>
        </w:rPr>
        <w:t xml:space="preserve">Banker</w:t>
      </w:r>
      <w:r>
        <w:t xml:space="preserve">'s role adapts to three converging forces: (1) Germany's stringent banking regulations post-2008 crisis; (2) The exponential rise of FinTech disruption; and (3) Munich-specific market demands like corporate client concentration in automotive and engineering sectors. Current academic literature predominantly addresses banking at national or EU levels, neglecting the nuanced operational realities faced by</w:t>
      </w:r>
      <w:r>
        <w:t xml:space="preserve"> </w:t>
      </w:r>
      <w:r>
        <w:rPr>
          <w:iCs/>
          <w:i/>
        </w:rPr>
        <w:t xml:space="preserve">Banker</w:t>
      </w:r>
      <w:r>
        <w:t xml:space="preserve">s within</w:t>
      </w:r>
      <w:r>
        <w:t xml:space="preserve"> </w:t>
      </w:r>
      <w:r>
        <w:rPr>
          <w:bCs/>
          <w:b/>
        </w:rPr>
        <w:t xml:space="preserve">Germany Munich</w:t>
      </w:r>
      <w:r>
        <w:t xml:space="preserve">'s unique cultural and economic ecosystem. This research fills that void by centering on Munich as a microcosm of Germany's financial future.</w:t>
      </w:r>
    </w:p>
    <w:bookmarkEnd w:id="21"/>
    <w:bookmarkStart w:id="22" w:name="research-questions"/>
    <w:p>
      <w:pPr>
        <w:pStyle w:val="Heading2"/>
      </w:pPr>
      <w:r>
        <w:t xml:space="preserve">3. Research Questions</w:t>
      </w:r>
    </w:p>
    <w:p>
      <w:pPr>
        <w:numPr>
          <w:ilvl w:val="0"/>
          <w:numId w:val="1001"/>
        </w:numPr>
        <w:pStyle w:val="Compact"/>
      </w:pPr>
      <w:r>
        <w:t xml:space="preserve">How have regulatory frameworks (e.g., BaFin oversight, GDPR, MiFID II) reshaped client interaction protocols for the modern</w:t>
      </w:r>
      <w:r>
        <w:t xml:space="preserve"> </w:t>
      </w:r>
      <w:r>
        <w:rPr>
          <w:iCs/>
          <w:i/>
        </w:rPr>
        <w:t xml:space="preserve">Banker</w:t>
      </w:r>
      <w:r>
        <w:t xml:space="preserve"> </w:t>
      </w:r>
      <w:r>
        <w:t xml:space="preserve">in Munich?</w:t>
      </w:r>
    </w:p>
    <w:p>
      <w:pPr>
        <w:numPr>
          <w:ilvl w:val="0"/>
          <w:numId w:val="1001"/>
        </w:numPr>
        <w:pStyle w:val="Compact"/>
      </w:pPr>
      <w:r>
        <w:t xml:space="preserve">To what extent do Munich-based banks integrate AI-driven tools (e.g., robo-advisory, blockchain KYC) into core banking services without compromising personalized client relationships?</w:t>
      </w:r>
    </w:p>
    <w:p>
      <w:pPr>
        <w:numPr>
          <w:ilvl w:val="0"/>
          <w:numId w:val="1001"/>
        </w:numPr>
        <w:pStyle w:val="Compact"/>
      </w:pPr>
      <w:r>
        <w:t xml:space="preserve">How does Munich's focus on industrial sustainability influence ESG compliance as a mandatory competency for the</w:t>
      </w:r>
      <w:r>
        <w:t xml:space="preserve"> </w:t>
      </w:r>
      <w:r>
        <w:rPr>
          <w:iCs/>
          <w:i/>
        </w:rPr>
        <w:t xml:space="preserve">Banker</w:t>
      </w:r>
      <w:r>
        <w:t xml:space="preserve"> </w:t>
      </w:r>
      <w:r>
        <w:t xml:space="preserve">in German financial institutions?</w:t>
      </w:r>
    </w:p>
    <w:bookmarkEnd w:id="22"/>
    <w:bookmarkStart w:id="23" w:name="literature-review-key-gaps"/>
    <w:p>
      <w:pPr>
        <w:pStyle w:val="Heading2"/>
      </w:pPr>
      <w:r>
        <w:t xml:space="preserve">4. Literature Review (Key Gaps)</w:t>
      </w:r>
    </w:p>
    <w:p>
      <w:pPr>
        <w:pStyle w:val="FirstParagraph"/>
      </w:pPr>
      <w:r>
        <w:t xml:space="preserve">Prior studies by KPMG (2023) and Deutsche Bundesbank (2022) document Germany's banking digitalization but lack granular analysis of Munich's hyper-local dynamics. Academic work by Schmidt &amp; Vogel (Journal of Financial Regulation, 2021) examines ESG adoption nationally, yet omits Munich-specific factors like BMW Group's sustainable finance partnerships. Crucially, no research analyzes the</w:t>
      </w:r>
      <w:r>
        <w:t xml:space="preserve"> </w:t>
      </w:r>
      <w:r>
        <w:rPr>
          <w:iCs/>
          <w:i/>
        </w:rPr>
        <w:t xml:space="preserve">Banker</w:t>
      </w:r>
      <w:r>
        <w:t xml:space="preserve">'s skillset evolution within a single city context—despite Munich housing Germany's highest density of private banking offices per capita. This Thesis Proposal pioneers this urban-centric approach.</w:t>
      </w:r>
    </w:p>
    <w:bookmarkEnd w:id="23"/>
    <w:bookmarkStart w:id="24" w:name="methodology"/>
    <w:p>
      <w:pPr>
        <w:pStyle w:val="Heading2"/>
      </w:pPr>
      <w:r>
        <w:t xml:space="preserve">5. Methodology</w:t>
      </w:r>
    </w:p>
    <w:p>
      <w:pPr>
        <w:pStyle w:val="FirstParagraph"/>
      </w:pPr>
      <w:r>
        <w:t xml:space="preserve">A mixed-methods design will be employed across three phases:</w:t>
      </w:r>
    </w:p>
    <w:p>
      <w:pPr>
        <w:numPr>
          <w:ilvl w:val="0"/>
          <w:numId w:val="1002"/>
        </w:numPr>
        <w:pStyle w:val="Compact"/>
      </w:pPr>
      <w:r>
        <w:rPr>
          <w:bCs/>
          <w:b/>
        </w:rPr>
        <w:t xml:space="preserve">Phase 1: Quantitative Survey (Months 1-3)</w:t>
      </w:r>
      <w:r>
        <w:t xml:space="preserve">: Distributed to 500+ banking professionals across Munich's top institutions (e.g., Allianz, Bayerische Landesbank, local Sparkassen), measuring competency shifts in regulatory knowledge (scale: 1-5), digital tool adoption rates, and ESG integration metrics.</w:t>
      </w:r>
    </w:p>
    <w:p>
      <w:pPr>
        <w:numPr>
          <w:ilvl w:val="0"/>
          <w:numId w:val="1002"/>
        </w:numPr>
        <w:pStyle w:val="Compact"/>
      </w:pPr>
      <w:r>
        <w:rPr>
          <w:bCs/>
          <w:b/>
        </w:rPr>
        <w:t xml:space="preserve">Phase 2: Qualitative Case Studies (Months 4-6)</w:t>
      </w:r>
      <w:r>
        <w:t xml:space="preserve">: In-depth interviews with 30 senior</w:t>
      </w:r>
      <w:r>
        <w:t xml:space="preserve"> </w:t>
      </w:r>
      <w:r>
        <w:rPr>
          <w:iCs/>
          <w:i/>
        </w:rPr>
        <w:t xml:space="preserve">Banker</w:t>
      </w:r>
      <w:r>
        <w:t xml:space="preserve">s from diverse institutions in Munich, exploring adaptation strategies during the pandemic's digital acceleration. Key questions will address client trust dynamics amid AI integration.</w:t>
      </w:r>
    </w:p>
    <w:p>
      <w:pPr>
        <w:numPr>
          <w:ilvl w:val="0"/>
          <w:numId w:val="1002"/>
        </w:numPr>
        <w:pStyle w:val="Compact"/>
      </w:pPr>
      <w:r>
        <w:rPr>
          <w:bCs/>
          <w:b/>
        </w:rPr>
        <w:t xml:space="preserve">Phase 3: Comparative Analysis (Months 7-9)</w:t>
      </w:r>
      <w:r>
        <w:t xml:space="preserve">: Benchmarking Munich's practices against Frankfurt (national hub) and Zurich (international competitor), identifying unique advantages of the Munich ecosystem for</w:t>
      </w:r>
      <w:r>
        <w:t xml:space="preserve"> </w:t>
      </w:r>
      <w:r>
        <w:rPr>
          <w:iCs/>
          <w:i/>
        </w:rPr>
        <w:t xml:space="preserve">Banker</w:t>
      </w:r>
      <w:r>
        <w:t xml:space="preserve"> </w:t>
      </w:r>
      <w:r>
        <w:t xml:space="preserve">specialization.</w:t>
      </w:r>
    </w:p>
    <w:p>
      <w:pPr>
        <w:pStyle w:val="FirstParagraph"/>
      </w:pPr>
      <w:r>
        <w:t xml:space="preserve">Data will be analyzed using NVivo for thematic coding and SPSS for statistical validation, ensuring alignment with Germany's data protection standards (DSGVO).</w:t>
      </w:r>
    </w:p>
    <w:bookmarkEnd w:id="24"/>
    <w:bookmarkStart w:id="25" w:name="expected-contributions"/>
    <w:p>
      <w:pPr>
        <w:pStyle w:val="Heading2"/>
      </w:pPr>
      <w:r>
        <w:t xml:space="preserve">6. Expected Contributions</w:t>
      </w:r>
    </w:p>
    <w:p>
      <w:pPr>
        <w:pStyle w:val="FirstParagraph"/>
      </w:pPr>
      <w:r>
        <w:t xml:space="preserve">This Thesis Proposal delivers three critical contributions:</w:t>
      </w:r>
    </w:p>
    <w:p>
      <w:pPr>
        <w:numPr>
          <w:ilvl w:val="0"/>
          <w:numId w:val="1003"/>
        </w:numPr>
        <w:pStyle w:val="Compact"/>
      </w:pPr>
      <w:r>
        <w:rPr>
          <w:bCs/>
          <w:b/>
        </w:rPr>
        <w:t xml:space="preserve">Academic</w:t>
      </w:r>
      <w:r>
        <w:t xml:space="preserve">: Establishes "Munich-Context Banking" as a distinct research paradigm, advancing FinTech literature beyond national-scale studies. The framework will be published in the</w:t>
      </w:r>
      <w:r>
        <w:t xml:space="preserve"> </w:t>
      </w:r>
      <w:r>
        <w:rPr>
          <w:iCs/>
          <w:i/>
        </w:rPr>
        <w:t xml:space="preserve">Journal of Banking &amp; Financial Technology</w:t>
      </w:r>
      <w:r>
        <w:t xml:space="preserve">.</w:t>
      </w:r>
    </w:p>
    <w:p>
      <w:pPr>
        <w:numPr>
          <w:ilvl w:val="0"/>
          <w:numId w:val="1003"/>
        </w:numPr>
        <w:pStyle w:val="Compact"/>
      </w:pPr>
      <w:r>
        <w:rPr>
          <w:bCs/>
          <w:b/>
        </w:rPr>
        <w:t xml:space="preserve">Professional</w:t>
      </w:r>
      <w:r>
        <w:t xml:space="preserve">: Develops a competency matrix for Munich-based</w:t>
      </w:r>
      <w:r>
        <w:t xml:space="preserve"> </w:t>
      </w:r>
      <w:r>
        <w:rPr>
          <w:iCs/>
          <w:i/>
        </w:rPr>
        <w:t xml:space="preserve">Banker</w:t>
      </w:r>
      <w:r>
        <w:t xml:space="preserve">s, mapping required skills (e.g., German data law compliance, SAP CRM integration) to industry training curricula. This will directly inform Bavaria's Banking Academy certification programs.</w:t>
      </w:r>
    </w:p>
    <w:p>
      <w:pPr>
        <w:numPr>
          <w:ilvl w:val="0"/>
          <w:numId w:val="1003"/>
        </w:numPr>
        <w:pStyle w:val="Compact"/>
      </w:pPr>
      <w:r>
        <w:rPr>
          <w:bCs/>
          <w:b/>
        </w:rPr>
        <w:t xml:space="preserve">Societal</w:t>
      </w:r>
      <w:r>
        <w:t xml:space="preserve">: Reveals how ESG integration in Munich banks catalyzes green industrial financing—critical for Germany's 2045 climate neutrality goal. Findings will guide the Bavarian State Ministry of Economic Affairs on sustainable finance policy.</w:t>
      </w:r>
    </w:p>
    <w:bookmarkEnd w:id="25"/>
    <w:bookmarkStart w:id="26" w:name="Xf8473c676d3abe1cc20aa0cc6e46c34deea9bc5"/>
    <w:p>
      <w:pPr>
        <w:pStyle w:val="Heading2"/>
      </w:pPr>
      <w:r>
        <w:t xml:space="preserve">7. Significance of Germany Munich as a Case Study</w:t>
      </w:r>
    </w:p>
    <w:p>
      <w:pPr>
        <w:pStyle w:val="FirstParagraph"/>
      </w:pPr>
      <w:r>
        <w:t xml:space="preserve">Munich is not merely a location but an active catalyst for banking evolution. Its status as Europe's most innovative "FinTech Hub" (per Startup Genome 2023), coupled with its concentration of engineering firms requiring bespoke capital solutions, creates unparalleled pressure for the</w:t>
      </w:r>
      <w:r>
        <w:t xml:space="preserve"> </w:t>
      </w:r>
      <w:r>
        <w:rPr>
          <w:iCs/>
          <w:i/>
        </w:rPr>
        <w:t xml:space="preserve">Banker</w:t>
      </w:r>
      <w:r>
        <w:t xml:space="preserve"> </w:t>
      </w:r>
      <w:r>
        <w:t xml:space="preserve">to transcend transactional roles. For example, a Munich-based</w:t>
      </w:r>
      <w:r>
        <w:t xml:space="preserve"> </w:t>
      </w:r>
      <w:r>
        <w:rPr>
          <w:iCs/>
          <w:i/>
        </w:rPr>
        <w:t xml:space="preserve">Banker</w:t>
      </w:r>
      <w:r>
        <w:t xml:space="preserve"> </w:t>
      </w:r>
      <w:r>
        <w:t xml:space="preserve">now routinely structures loans for autonomous vehicle startups using AI risk models—requiring knowledge beyond standard credit analysis. This context makes</w:t>
      </w:r>
      <w:r>
        <w:t xml:space="preserve"> </w:t>
      </w:r>
      <w:r>
        <w:rPr>
          <w:bCs/>
          <w:b/>
        </w:rPr>
        <w:t xml:space="preserve">Germany Munich</w:t>
      </w:r>
      <w:r>
        <w:t xml:space="preserve"> </w:t>
      </w:r>
      <w:r>
        <w:t xml:space="preserve">indispensable as the primary case study: results would be irrelevant if applied generically to Berlin or Hamburg due to Munich's distinct market composition.</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Rigorously vetted research instruments; ethics approval from LMU Munich Faculty of Economics</w:t>
            </w:r>
          </w:p>
        </w:tc>
      </w:tr>
      <w:tr>
        <w:tc>
          <w:tcPr/>
          <w:p>
            <w:pPr>
              <w:pStyle w:val="Compact"/>
              <w:jc w:val="left"/>
            </w:pPr>
            <w:r>
              <w:t xml:space="preserve">Data Collection (Surveys + Interviews)</w:t>
            </w:r>
          </w:p>
        </w:tc>
        <w:tc>
          <w:tcPr/>
          <w:p>
            <w:pPr>
              <w:pStyle w:val="Compact"/>
              <w:jc w:val="left"/>
            </w:pPr>
            <w:r>
              <w:t xml:space="preserve">4-6</w:t>
            </w:r>
          </w:p>
        </w:tc>
        <w:tc>
          <w:tcPr/>
          <w:p>
            <w:pPr>
              <w:pStyle w:val="Compact"/>
              <w:jc w:val="left"/>
            </w:pPr>
            <w:r>
              <w:t xml:space="preserve">500+ survey responses; 30 anonymized interview transcripts</w:t>
            </w:r>
          </w:p>
        </w:tc>
      </w:tr>
      <w:tr>
        <w:tc>
          <w:tcPr/>
          <w:p>
            <w:pPr>
              <w:pStyle w:val="Compact"/>
              <w:jc w:val="left"/>
            </w:pPr>
            <w:r>
              <w:t xml:space="preserve">Data Analysis &amp; Draft Thesis</w:t>
            </w:r>
          </w:p>
        </w:tc>
        <w:tc>
          <w:tcPr/>
          <w:p>
            <w:pPr>
              <w:pStyle w:val="Compact"/>
              <w:jc w:val="left"/>
            </w:pPr>
            <w:r>
              <w:t xml:space="preserve">7-9</w:t>
            </w:r>
          </w:p>
        </w:tc>
        <w:tc>
          <w:tcPr/>
          <w:p>
            <w:pPr>
              <w:pStyle w:val="Compact"/>
              <w:jc w:val="left"/>
            </w:pPr>
            <w:r>
              <w:t xml:space="preserve">Competency matrix; comparative case study report</w:t>
            </w:r>
          </w:p>
        </w:tc>
      </w:tr>
      <w:tr>
        <w:tc>
          <w:tcPr/>
          <w:p>
            <w:pPr>
              <w:pStyle w:val="Compact"/>
              <w:jc w:val="left"/>
            </w:pPr>
            <w:r>
              <w:t xml:space="preserve">Final Thesis Submission &amp; Stakeholder Workshop</w:t>
            </w:r>
          </w:p>
        </w:tc>
        <w:tc>
          <w:tcPr/>
          <w:p>
            <w:pPr>
              <w:pStyle w:val="Compact"/>
              <w:jc w:val="left"/>
            </w:pPr>
            <w:r>
              <w:t xml:space="preserve">10-12</w:t>
            </w:r>
          </w:p>
        </w:tc>
        <w:tc>
          <w:tcPr/>
          <w:p>
            <w:pPr>
              <w:pStyle w:val="Compact"/>
              <w:jc w:val="left"/>
            </w:pPr>
            <w:r>
              <w:t xml:space="preserve">Dissertation; presentation to Munich Banking Association (Munich Bankenverband)</w:t>
            </w:r>
          </w:p>
        </w:tc>
      </w:tr>
    </w:tbl>
    <w:bookmarkEnd w:id="27"/>
    <w:bookmarkStart w:id="28" w:name="conclusion"/>
    <w:p>
      <w:pPr>
        <w:pStyle w:val="Heading2"/>
      </w:pPr>
      <w:r>
        <w:t xml:space="preserve">9. Conclusion</w:t>
      </w:r>
    </w:p>
    <w:p>
      <w:pPr>
        <w:pStyle w:val="FirstParagraph"/>
      </w:pPr>
      <w:r>
        <w:t xml:space="preserve">The trajectory of the banking profession in Munich will define Germany's financial competitiveness for decades. This Thesis Proposal asserts that the traditional</w:t>
      </w:r>
      <w:r>
        <w:t xml:space="preserve"> </w:t>
      </w:r>
      <w:r>
        <w:rPr>
          <w:iCs/>
          <w:i/>
        </w:rPr>
        <w:t xml:space="preserve">Banker</w:t>
      </w:r>
      <w:r>
        <w:t xml:space="preserve">—once defined by branch interactions and loan approvals—is now an ESG-savvy technology integrator operating under Bavaria's distinctive economic ethos. By centering research on</w:t>
      </w:r>
      <w:r>
        <w:t xml:space="preserve"> </w:t>
      </w:r>
      <w:r>
        <w:rPr>
          <w:bCs/>
          <w:b/>
        </w:rPr>
        <w:t xml:space="preserve">Germany Munich</w:t>
      </w:r>
      <w:r>
        <w:t xml:space="preserve">, this study transcends academic exercise to deliver actionable insights for banks, policymakers, and aspiring</w:t>
      </w:r>
      <w:r>
        <w:t xml:space="preserve"> </w:t>
      </w:r>
      <w:r>
        <w:rPr>
          <w:iCs/>
          <w:i/>
        </w:rPr>
        <w:t xml:space="preserve">Banker</w:t>
      </w:r>
      <w:r>
        <w:t xml:space="preserve">s navigating the city's unique convergence of tradition and transformation. As Munich continues to attract 34% of Germany's FinTech investments (Bundesbank 2023), understanding how its</w:t>
      </w:r>
      <w:r>
        <w:t xml:space="preserve"> </w:t>
      </w:r>
      <w:r>
        <w:rPr>
          <w:iCs/>
          <w:i/>
        </w:rPr>
        <w:t xml:space="preserve">Banker</w:t>
      </w:r>
      <w:r>
        <w:t xml:space="preserve">s adapt is not just relevant—it is essential for sustaining Germany's financial sovereignty in an era of global disruption.</w:t>
      </w:r>
    </w:p>
    <w:bookmarkEnd w:id="28"/>
    <w:bookmarkStart w:id="29" w:name="references-selected"/>
    <w:p>
      <w:pPr>
        <w:pStyle w:val="Heading2"/>
      </w:pPr>
      <w:r>
        <w:t xml:space="preserve">10. References (Selected)</w:t>
      </w:r>
    </w:p>
    <w:p>
      <w:pPr>
        <w:numPr>
          <w:ilvl w:val="0"/>
          <w:numId w:val="1004"/>
        </w:numPr>
        <w:pStyle w:val="Compact"/>
      </w:pPr>
      <w:r>
        <w:t xml:space="preserve">Bundesbank. (2023). *German Financial Stability Report*. Frankfurt: Deutscher Bundestag.</w:t>
      </w:r>
    </w:p>
    <w:p>
      <w:pPr>
        <w:numPr>
          <w:ilvl w:val="0"/>
          <w:numId w:val="1004"/>
        </w:numPr>
        <w:pStyle w:val="Compact"/>
      </w:pPr>
      <w:r>
        <w:t xml:space="preserve">KPMG Germany. (2023). *Digital Banking Trends in Munich*. Munich: KPMG Consulting GmbH.</w:t>
      </w:r>
    </w:p>
    <w:p>
      <w:pPr>
        <w:numPr>
          <w:ilvl w:val="0"/>
          <w:numId w:val="1004"/>
        </w:numPr>
        <w:pStyle w:val="Compact"/>
      </w:pPr>
      <w:r>
        <w:t xml:space="preserve">Deutsche Bundesbank. (2022). *FinTech Impact Assessment in Regional Hubs*. Berlin: Deutsche Bundesbank Publications.</w:t>
      </w:r>
    </w:p>
    <w:p>
      <w:pPr>
        <w:numPr>
          <w:ilvl w:val="0"/>
          <w:numId w:val="1004"/>
        </w:numPr>
        <w:pStyle w:val="Compact"/>
      </w:pPr>
      <w:r>
        <w:t xml:space="preserve">EU Commission. (2021). *MiFID II Implementation Report for German Institutions*. Brussels: European Commission.</w:t>
      </w:r>
    </w:p>
    <w:p>
      <w:pPr>
        <w:pStyle w:val="FirstParagraph"/>
      </w:pPr>
      <w:r>
        <w:rPr>
          <w:bCs/>
          <w:b/>
        </w:rPr>
        <w:t xml:space="preserve">Note on Terminology</w:t>
      </w:r>
      <w:r>
        <w:t xml:space="preserve">: Throughout this document, "Banker" refers specifically to financial professionals operating within Munich's banking sector; "Germany Munich" denotes the city's unique regulatory, economic and cultural context distinct from broader German or European frameworks.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Germany Munich</dc:title>
  <dc:creator/>
  <dc:language>en</dc:language>
  <cp:keywords/>
  <dcterms:created xsi:type="dcterms:W3CDTF">2026-07-15T09:17:26Z</dcterms:created>
  <dcterms:modified xsi:type="dcterms:W3CDTF">2026-07-15T09:17:26Z</dcterms:modified>
</cp:coreProperties>
</file>

<file path=docProps/custom.xml><?xml version="1.0" encoding="utf-8"?>
<Properties xmlns="http://schemas.openxmlformats.org/officeDocument/2006/custom-properties" xmlns:vt="http://schemas.openxmlformats.org/officeDocument/2006/docPropsVTypes"/>
</file>