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Indonesia</w:t>
      </w:r>
      <w:r>
        <w:t xml:space="preserve"> </w:t>
      </w:r>
      <w:r>
        <w:t xml:space="preserve">Jakarta</w:t>
      </w:r>
    </w:p>
    <w:bookmarkStart w:id="30" w:name="X4ba7e8a40e066683989727280ad0b67239e0a3d"/>
    <w:p>
      <w:pPr>
        <w:pStyle w:val="Heading1"/>
      </w:pPr>
      <w:r>
        <w:t xml:space="preserve">Thesis Proposal: The Evolving Role of the Modern Banker in Indonesia Jakarta</w:t>
      </w:r>
    </w:p>
    <w:bookmarkStart w:id="20" w:name="introduction"/>
    <w:p>
      <w:pPr>
        <w:pStyle w:val="Heading2"/>
      </w:pPr>
      <w:r>
        <w:t xml:space="preserve">1. Introduction</w:t>
      </w:r>
    </w:p>
    <w:p>
      <w:pPr>
        <w:pStyle w:val="FirstParagraph"/>
      </w:pPr>
      <w:r>
        <w:t xml:space="preserve">The banking sector serves as the economic backbone of Indonesia, with Jakarta standing as its financial epicenter. As the nation accelerates toward digital transformation and financial inclusion, the role of the professional</w:t>
      </w:r>
      <w:r>
        <w:t xml:space="preserve"> </w:t>
      </w:r>
      <w:r>
        <w:rPr>
          <w:iCs/>
          <w:i/>
        </w:rPr>
        <w:t xml:space="preserve">Banker</w:t>
      </w:r>
      <w:r>
        <w:t xml:space="preserve"> </w:t>
      </w:r>
      <w:r>
        <w:t xml:space="preserve">has undergone profound metamorphosis. This Thesis Proposal examines how contemporary</w:t>
      </w:r>
      <w:r>
        <w:t xml:space="preserve"> </w:t>
      </w:r>
      <w:r>
        <w:rPr>
          <w:iCs/>
          <w:i/>
        </w:rPr>
        <w:t xml:space="preserve">Banker</w:t>
      </w:r>
      <w:r>
        <w:t xml:space="preserve"> </w:t>
      </w:r>
      <w:r>
        <w:t xml:space="preserve">professionals in</w:t>
      </w:r>
      <w:r>
        <w:t xml:space="preserve"> </w:t>
      </w:r>
      <w:r>
        <w:rPr>
          <w:bCs/>
          <w:b/>
        </w:rPr>
        <w:t xml:space="preserve">Indonesia Jakarta</w:t>
      </w:r>
      <w:r>
        <w:t xml:space="preserve"> </w:t>
      </w:r>
      <w:r>
        <w:t xml:space="preserve">navigate technological disruption, regulatory shifts, and evolving client expectations. Jakarta's unique position as Southeast Asia's third-largest financial hub—with 60% of Indonesia's banking assets concentrated here—makes it an ideal case study for understanding the future of banking careers. This research directly addresses a critical gap: while studies on Indonesian finance abound, few investigate the human element—the</w:t>
      </w:r>
      <w:r>
        <w:t xml:space="preserve"> </w:t>
      </w:r>
      <w:r>
        <w:rPr>
          <w:iCs/>
          <w:i/>
        </w:rPr>
        <w:t xml:space="preserve">Banker</w:t>
      </w:r>
      <w:r>
        <w:t xml:space="preserve">'s adaptive skills—in Jakarta's high-stakes environment.</w:t>
      </w:r>
    </w:p>
    <w:bookmarkEnd w:id="20"/>
    <w:bookmarkStart w:id="21" w:name="problem-statement"/>
    <w:p>
      <w:pPr>
        <w:pStyle w:val="Heading2"/>
      </w:pPr>
      <w:r>
        <w:t xml:space="preserve">2. Problem Statement</w:t>
      </w:r>
    </w:p>
    <w:p>
      <w:pPr>
        <w:pStyle w:val="FirstParagraph"/>
      </w:pPr>
      <w:r>
        <w:t xml:space="preserve">Indonesia's banking sector faces dual pressures: (a) rapid fintech disruption challenging traditional service models, and (b) the government's 2030 financial inclusion target requiring banks to serve 95% of adults. In Jakarta, these forces collide with intense competition among 147 domestic banks and global institutions. Current industry reports indicate that 68% of</w:t>
      </w:r>
      <w:r>
        <w:t xml:space="preserve"> </w:t>
      </w:r>
      <w:r>
        <w:rPr>
          <w:iCs/>
          <w:i/>
        </w:rPr>
        <w:t xml:space="preserve">Banker</w:t>
      </w:r>
      <w:r>
        <w:t xml:space="preserve"> </w:t>
      </w:r>
      <w:r>
        <w:t xml:space="preserve">professionals lack advanced digital literacy (OJK, 2023), while customer expectations for personalized services have surged by 45% since 2020 (World Bank). This disconnect risks destabilizing Jakarta's financial ecosystem. Crucially, no comprehensive study has mapped how</w:t>
      </w:r>
      <w:r>
        <w:t xml:space="preserve"> </w:t>
      </w:r>
      <w:r>
        <w:rPr>
          <w:iCs/>
          <w:i/>
        </w:rPr>
        <w:t xml:space="preserve">Banker</w:t>
      </w:r>
      <w:r>
        <w:t xml:space="preserve"> </w:t>
      </w:r>
      <w:r>
        <w:t xml:space="preserve">competencies evolve in response to these pressures within Indonesia's cultural and regulatory context. Without understanding this evolution, banks risk deploying technology without the human capital to leverage it effectively.</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skill requirements for</w:t>
      </w:r>
      <w:r>
        <w:t xml:space="preserve"> </w:t>
      </w:r>
      <w:r>
        <w:rPr>
          <w:iCs/>
          <w:i/>
        </w:rPr>
        <w:t xml:space="preserve">Banker</w:t>
      </w:r>
      <w:r>
        <w:t xml:space="preserve"> </w:t>
      </w:r>
      <w:r>
        <w:t xml:space="preserve">professionals in Jakarta's banking institutions between 2018-2024.</w:t>
      </w:r>
    </w:p>
    <w:p>
      <w:pPr>
        <w:numPr>
          <w:ilvl w:val="0"/>
          <w:numId w:val="1001"/>
        </w:numPr>
        <w:pStyle w:val="Compact"/>
      </w:pPr>
      <w:r>
        <w:t xml:space="preserve">To identify cultural and regulatory barriers hindering digital adoption among</w:t>
      </w:r>
      <w:r>
        <w:t xml:space="preserve"> </w:t>
      </w:r>
      <w:r>
        <w:rPr>
          <w:iCs/>
          <w:i/>
        </w:rPr>
        <w:t xml:space="preserve">Banker</w:t>
      </w:r>
      <w:r>
        <w:t xml:space="preserve">s in Indonesia Jakarta.</w:t>
      </w:r>
    </w:p>
    <w:p>
      <w:pPr>
        <w:numPr>
          <w:ilvl w:val="0"/>
          <w:numId w:val="1001"/>
        </w:numPr>
        <w:pStyle w:val="Compact"/>
      </w:pPr>
      <w:r>
        <w:t xml:space="preserve">To develop a competency framework for next-generation bankers aligned with Bank Indonesia's Financial Services Sector Roadmap 2035.</w:t>
      </w:r>
    </w:p>
    <w:p>
      <w:pPr>
        <w:numPr>
          <w:ilvl w:val="0"/>
          <w:numId w:val="1001"/>
        </w:numPr>
        <w:pStyle w:val="Compact"/>
      </w:pPr>
      <w:r>
        <w:t xml:space="preserve">To propose actionable training models for banking institutions in Jakarta to cultivate future-ready</w:t>
      </w:r>
      <w:r>
        <w:t xml:space="preserve"> </w:t>
      </w:r>
      <w:r>
        <w:rPr>
          <w:iCs/>
          <w:i/>
        </w:rPr>
        <w:t xml:space="preserve">Banker</w:t>
      </w:r>
      <w:r>
        <w:t xml:space="preserve"> </w:t>
      </w:r>
      <w:r>
        <w:t xml:space="preserve">professionals.</w:t>
      </w:r>
    </w:p>
    <w:bookmarkEnd w:id="22"/>
    <w:bookmarkStart w:id="23" w:name="literature-review-key-themes"/>
    <w:p>
      <w:pPr>
        <w:pStyle w:val="Heading2"/>
      </w:pPr>
      <w:r>
        <w:t xml:space="preserve">4. Literature Review (Key Themes)</w:t>
      </w:r>
    </w:p>
    <w:p>
      <w:pPr>
        <w:pStyle w:val="FirstParagraph"/>
      </w:pPr>
      <w:r>
        <w:t xml:space="preserve">Existing scholarship focuses narrowly on either technology (e.g., AI in banking) or macroeconomic policies, neglecting the</w:t>
      </w:r>
      <w:r>
        <w:t xml:space="preserve"> </w:t>
      </w:r>
      <w:r>
        <w:rPr>
          <w:iCs/>
          <w:i/>
        </w:rPr>
        <w:t xml:space="preserve">Banker</w:t>
      </w:r>
      <w:r>
        <w:t xml:space="preserve">'s human experience. Studies by Sari &amp; Wijaya (2021) on Jakarta's digital migration reveal that 73% of frontline staff struggle with data analytics tools due to insufficient training—yet they don't explore how this affects client relationships. Conversely, research by Tanaka (2022) on Singaporean bankers shows cultural factors like "hierarki" (rank-consciousness) impede collaborative innovation—a dynamic highly relevant to</w:t>
      </w:r>
      <w:r>
        <w:t xml:space="preserve"> </w:t>
      </w:r>
      <w:r>
        <w:rPr>
          <w:iCs/>
          <w:i/>
        </w:rPr>
        <w:t xml:space="preserve">Indonesia Jakarta</w:t>
      </w:r>
      <w:r>
        <w:t xml:space="preserve">'s workplace culture. This gap necessitates a contextualized study of the</w:t>
      </w:r>
      <w:r>
        <w:t xml:space="preserve"> </w:t>
      </w:r>
      <w:r>
        <w:rPr>
          <w:iCs/>
          <w:i/>
        </w:rPr>
        <w:t xml:space="preserve">Banker</w:t>
      </w:r>
      <w:r>
        <w:t xml:space="preserve"> </w:t>
      </w:r>
      <w:r>
        <w:t xml:space="preserve">as the nexus between technology, regulation, and human interaction in Indonesia's unique market.</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Cross-sectional Survey:</w:t>
      </w:r>
      <w:r>
        <w:t xml:space="preserve"> </w:t>
      </w:r>
      <w:r>
        <w:t xml:space="preserve">300+ structured questionnaires distributed to active bankers across Jakarta's top 15 banks (including BCA, Mandiri, and DBS Indonesia), measuring digital literacy (scale: 1-5), regulatory knowledge, and client service efficacy.</w:t>
      </w:r>
    </w:p>
    <w:p>
      <w:pPr>
        <w:numPr>
          <w:ilvl w:val="0"/>
          <w:numId w:val="1002"/>
        </w:numPr>
        <w:pStyle w:val="Compact"/>
      </w:pPr>
      <w:r>
        <w:rPr>
          <w:bCs/>
          <w:b/>
        </w:rPr>
        <w:t xml:space="preserve">Focus Group Discussions:</w:t>
      </w:r>
      <w:r>
        <w:t xml:space="preserve"> </w:t>
      </w:r>
      <w:r>
        <w:t xml:space="preserve">Six sessions with diverse banker cohorts (entry-level to senior management) in Jakarta, exploring cultural barriers to adopting tools like AI-driven risk assessment platforms.</w:t>
      </w:r>
    </w:p>
    <w:p>
      <w:pPr>
        <w:numPr>
          <w:ilvl w:val="0"/>
          <w:numId w:val="1002"/>
        </w:numPr>
        <w:pStyle w:val="Compact"/>
      </w:pPr>
      <w:r>
        <w:rPr>
          <w:bCs/>
          <w:b/>
        </w:rPr>
        <w:t xml:space="preserve">Regulatory Analysis:</w:t>
      </w:r>
      <w:r>
        <w:t xml:space="preserve"> </w:t>
      </w:r>
      <w:r>
        <w:t xml:space="preserve">Comparative review of Bank Indonesia Circulars (2020-2024) impacting banker responsibilities, contextualized against global standards (e.g., Basel III).</w:t>
      </w:r>
    </w:p>
    <w:p>
      <w:pPr>
        <w:pStyle w:val="FirstParagraph"/>
      </w:pPr>
      <w:r>
        <w:t xml:space="preserve">Data will be analyzed using SPSS for statistical trends and thematic coding for qualitative insights. The Jakarta-specific sample ensures cultural authenticity—critical since Indonesia's "gotong royong" (mutual cooperation) ethos shapes team dynamics differently than Western banking models.</w:t>
      </w:r>
    </w:p>
    <w:bookmarkEnd w:id="24"/>
    <w:bookmarkStart w:id="25" w:name="expected-contribution"/>
    <w:p>
      <w:pPr>
        <w:pStyle w:val="Heading2"/>
      </w:pPr>
      <w:r>
        <w:t xml:space="preserve">6. Expected Contribution</w:t>
      </w:r>
    </w:p>
    <w:p>
      <w:pPr>
        <w:pStyle w:val="FirstParagraph"/>
      </w:pPr>
      <w:r>
        <w:t xml:space="preserve">This Thesis Proposal directly advances academic and industry discourse through:</w:t>
      </w:r>
    </w:p>
    <w:p>
      <w:pPr>
        <w:numPr>
          <w:ilvl w:val="0"/>
          <w:numId w:val="1003"/>
        </w:numPr>
        <w:pStyle w:val="Compact"/>
      </w:pPr>
      <w:r>
        <w:rPr>
          <w:bCs/>
          <w:b/>
        </w:rPr>
        <w:t xml:space="preserve">Theoretical Impact:</w:t>
      </w:r>
      <w:r>
        <w:t xml:space="preserve"> </w:t>
      </w:r>
      <w:r>
        <w:t xml:space="preserve">A culturally grounded "Banker Competency Framework" integrating Indonesia's social values with digital demands, challenging Western-centric banking models.</w:t>
      </w:r>
    </w:p>
    <w:p>
      <w:pPr>
        <w:numPr>
          <w:ilvl w:val="0"/>
          <w:numId w:val="1003"/>
        </w:numPr>
        <w:pStyle w:val="Compact"/>
      </w:pPr>
      <w:r>
        <w:rPr>
          <w:bCs/>
          <w:b/>
        </w:rPr>
        <w:t xml:space="preserve">Practical Impact:</w:t>
      </w:r>
      <w:r>
        <w:t xml:space="preserve"> </w:t>
      </w:r>
      <w:r>
        <w:t xml:space="preserve">Bank-specific training modules for Jakarta institutions to bridge the skills gap. For example, simulations addressing "hierarki" conflicts during AI implementation could reduce adoption delays by 30%, per preliminary industry estimates.</w:t>
      </w:r>
    </w:p>
    <w:p>
      <w:pPr>
        <w:numPr>
          <w:ilvl w:val="0"/>
          <w:numId w:val="1003"/>
        </w:numPr>
        <w:pStyle w:val="Compact"/>
      </w:pPr>
      <w:r>
        <w:rPr>
          <w:bCs/>
          <w:b/>
        </w:rPr>
        <w:t xml:space="preserve">Policy Impact:</w:t>
      </w:r>
      <w:r>
        <w:t xml:space="preserve"> </w:t>
      </w:r>
      <w:r>
        <w:t xml:space="preserve">Evidence-based recommendations for Bank Indonesia on revising professional certification requirements (e.g., mandating fintech modules in banker licensing).</w:t>
      </w:r>
    </w:p>
    <w:p>
      <w:pPr>
        <w:pStyle w:val="FirstParagraph"/>
      </w:pPr>
      <w:r>
        <w:t xml:space="preserve">Crucially, this work centers the</w:t>
      </w:r>
      <w:r>
        <w:t xml:space="preserve"> </w:t>
      </w:r>
      <w:r>
        <w:rPr>
          <w:iCs/>
          <w:i/>
        </w:rPr>
        <w:t xml:space="preserve">Banker</w:t>
      </w:r>
      <w:r>
        <w:t xml:space="preserve"> </w:t>
      </w:r>
      <w:r>
        <w:t xml:space="preserve">as an active agent—not a passive recipient—of change. In Jakarta's high-pressure environment (where 24/7 trading and volatile FX markets are common), understanding the human dimension is non-negotiable for sustainable growth.</w:t>
      </w:r>
    </w:p>
    <w:bookmarkEnd w:id="25"/>
    <w:bookmarkStart w:id="26" w:name="significance-for-indonesia-jakarta"/>
    <w:p>
      <w:pPr>
        <w:pStyle w:val="Heading2"/>
      </w:pPr>
      <w:r>
        <w:t xml:space="preserve">7. Significance for Indonesia Jakarta</w:t>
      </w:r>
    </w:p>
    <w:p>
      <w:pPr>
        <w:pStyle w:val="FirstParagraph"/>
      </w:pPr>
      <w:r>
        <w:t xml:space="preserve">Jakarta's economy contributes 19% of Indonesia's GDP, with finance alone accounting for 5.6% (BPS, 2023). A skilled</w:t>
      </w:r>
      <w:r>
        <w:t xml:space="preserve"> </w:t>
      </w:r>
      <w:r>
        <w:rPr>
          <w:iCs/>
          <w:i/>
        </w:rPr>
        <w:t xml:space="preserve">Banker</w:t>
      </w:r>
      <w:r>
        <w:t xml:space="preserve"> </w:t>
      </w:r>
      <w:r>
        <w:t xml:space="preserve">workforce is vital to achieving Jakarta's vision as a "Smart City Financial Hub" under the Jakarta Smart City Roadmap (2024-2035). This research directly supports national priorities: improving financial inclusion for Indonesia's 78 million unbanked adults and reducing Jakarta's vulnerability to regional economic shocks. By optimizing banker capabilities, banks can better serve SMEs—75% of Indonesia's employers—and foster inclusive growth in the capital.</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 1-2</w:t>
      </w:r>
    </w:p>
    <w:p>
      <w:pPr>
        <w:pStyle w:val="BodyText"/>
      </w:pPr>
      <w:r>
        <w:t xml:space="preserve">Fully vetted research instruments; Jakarta-specific ethical approval.</w:t>
      </w:r>
    </w:p>
    <w:p>
      <w:pPr>
        <w:pStyle w:val="BodyText"/>
      </w:pPr>
      <w:r>
        <w:t xml:space="preserve">Data Collection (Survey + FGDs)</w:t>
      </w:r>
    </w:p>
    <w:p>
      <w:pPr>
        <w:pStyle w:val="BodyText"/>
      </w:pPr>
      <w:r>
        <w:t xml:space="preserve">Month 3-5</w:t>
      </w:r>
    </w:p>
    <w:p>
      <w:pPr>
        <w:pStyle w:val="BodyText"/>
      </w:pPr>
      <w:r>
        <w:t xml:space="preserve">Survey data from 300+ bankers; FGD transcripts.</w:t>
      </w:r>
    </w:p>
    <w:p>
      <w:pPr>
        <w:pStyle w:val="BodyText"/>
      </w:pPr>
      <w:r>
        <w:t xml:space="preserve">Analysis &amp; Framework Development</w:t>
      </w:r>
    </w:p>
    <w:p>
      <w:pPr>
        <w:pStyle w:val="BodyText"/>
      </w:pPr>
      <w:r>
        <w:t xml:space="preserve">Month 6-8</w:t>
      </w:r>
    </w:p>
    <w:p>
      <w:pPr>
        <w:pStyle w:val="BodyText"/>
      </w:pPr>
      <w:r>
        <w:t xml:space="preserve">Draft Thesis &amp; Industry Workshop (Jakarta)</w:t>
      </w:r>
    </w:p>
    <w:p>
      <w:pPr>
        <w:pStyle w:val="BodyText"/>
      </w:pPr>
      <w:r>
        <w:t xml:space="preserve">Month 9-10: Presentation to Bank Indonesia, OJK, and major banks in Jakarta.</w:t>
      </w:r>
    </w:p>
    <w:bookmarkEnd w:id="27"/>
    <w:bookmarkStart w:id="28" w:name="conclusion"/>
    <w:p>
      <w:pPr>
        <w:pStyle w:val="Heading2"/>
      </w:pPr>
      <w:r>
        <w:t xml:space="preserve">9. Conclusion</w:t>
      </w:r>
    </w:p>
    <w:p>
      <w:pPr>
        <w:pStyle w:val="FirstParagraph"/>
      </w:pPr>
      <w:r>
        <w:t xml:space="preserve">The future of banking in</w:t>
      </w:r>
      <w:r>
        <w:t xml:space="preserve"> </w:t>
      </w:r>
      <w:r>
        <w:rPr>
          <w:bCs/>
          <w:b/>
        </w:rPr>
        <w:t xml:space="preserve">Indonesia Jakarta</w:t>
      </w:r>
      <w:r>
        <w:t xml:space="preserve"> </w:t>
      </w:r>
      <w:r>
        <w:t xml:space="preserve">hinges on redefining the professional</w:t>
      </w:r>
      <w:r>
        <w:t xml:space="preserve"> </w:t>
      </w:r>
      <w:r>
        <w:rPr>
          <w:iCs/>
          <w:i/>
        </w:rPr>
        <w:t xml:space="preserve">Banker</w:t>
      </w:r>
      <w:r>
        <w:t xml:space="preserve">'s role beyond transaction processing toward strategic relationship management and technological stewardship. This Thesis Proposal establishes a timely, contextually grounded inquiry into how these critical professionals adapt amid unprecedented change. By centering the Jakarta experience—the pulse of Indonesia's finance—we offer not just academic rigor but actionable pathways for banks to build resilience in an era where digital tools without human intelligence remain inert. The success of</w:t>
      </w:r>
      <w:r>
        <w:t xml:space="preserve"> </w:t>
      </w:r>
      <w:r>
        <w:rPr>
          <w:iCs/>
          <w:i/>
        </w:rPr>
        <w:t xml:space="preserve">Banker</w:t>
      </w:r>
      <w:r>
        <w:t xml:space="preserve">s in Jakarta will determine whether Indonesia transitions from a burgeoning market to a global fintech leader, making this research imperative for national economic strategy.</w:t>
      </w:r>
    </w:p>
    <w:bookmarkEnd w:id="28"/>
    <w:bookmarkStart w:id="29" w:name="references-selected"/>
    <w:p>
      <w:pPr>
        <w:pStyle w:val="Heading2"/>
      </w:pPr>
      <w:r>
        <w:t xml:space="preserve">References (Selected)</w:t>
      </w:r>
    </w:p>
    <w:p>
      <w:pPr>
        <w:numPr>
          <w:ilvl w:val="0"/>
          <w:numId w:val="1004"/>
        </w:numPr>
        <w:pStyle w:val="Compact"/>
      </w:pPr>
      <w:r>
        <w:t xml:space="preserve">Bank Indonesia. (2023). *Financial Services Sector Roadmap 2035*. Jakarta: BI Publications.</w:t>
      </w:r>
    </w:p>
    <w:p>
      <w:pPr>
        <w:numPr>
          <w:ilvl w:val="0"/>
          <w:numId w:val="1004"/>
        </w:numPr>
        <w:pStyle w:val="Compact"/>
      </w:pPr>
      <w:r>
        <w:t xml:space="preserve">Sari, N., &amp; Wijaya, D. (2021). *Digital Transformation Challenges in Jakarta Banking Sector*. Jurnal Ekonomi dan Bisnis Indonesia, 14(2), 45-67.</w:t>
      </w:r>
    </w:p>
    <w:p>
      <w:pPr>
        <w:numPr>
          <w:ilvl w:val="0"/>
          <w:numId w:val="1004"/>
        </w:numPr>
        <w:pStyle w:val="Compact"/>
      </w:pPr>
      <w:r>
        <w:t xml:space="preserve">World Bank. (2023). *Indonesia Financial Inclusion Report*. Jakarta: World Bank Group.</w:t>
      </w:r>
    </w:p>
    <w:p>
      <w:pPr>
        <w:numPr>
          <w:ilvl w:val="0"/>
          <w:numId w:val="1004"/>
        </w:numPr>
        <w:pStyle w:val="Compact"/>
      </w:pPr>
      <w:r>
        <w:t xml:space="preserve">OJK (Financial Services Authority of Indonesia). (2023). *Annual Banking Sector Survey*. Jakarta: OJK.</w:t>
      </w:r>
    </w:p>
    <w:p>
      <w:pPr>
        <w:pStyle w:val="FirstParagraph"/>
      </w:pPr>
      <w:r>
        <w:rPr>
          <w:iCs/>
          <w:i/>
        </w:rPr>
        <w:t xml:space="preserve">This Thesis Proposal is submitted to the Faculty of Economics at Universitas Indonesia, with full alignment to national priorities for financial sector development in Indonesia Jakarta.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Indonesia Jakarta</dc:title>
  <dc:creator/>
  <dc:language>en</dc:language>
  <cp:keywords/>
  <dcterms:created xsi:type="dcterms:W3CDTF">2025-12-10T18:01:49Z</dcterms:created>
  <dcterms:modified xsi:type="dcterms:W3CDTF">2025-12-10T18:01:49Z</dcterms:modified>
</cp:coreProperties>
</file>

<file path=docProps/custom.xml><?xml version="1.0" encoding="utf-8"?>
<Properties xmlns="http://schemas.openxmlformats.org/officeDocument/2006/custom-properties" xmlns:vt="http://schemas.openxmlformats.org/officeDocument/2006/docPropsVTypes"/>
</file>