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Iran</w:t>
      </w:r>
      <w:r>
        <w:t xml:space="preserve"> </w:t>
      </w:r>
      <w:r>
        <w:t xml:space="preserve">Tehran's</w:t>
      </w:r>
      <w:r>
        <w:t xml:space="preserve"> </w:t>
      </w:r>
      <w:r>
        <w:t xml:space="preserve">Financial</w:t>
      </w:r>
      <w:r>
        <w:t xml:space="preserve"> </w:t>
      </w:r>
      <w:r>
        <w:t xml:space="preserve">Ecosystem</w:t>
      </w:r>
    </w:p>
    <w:bookmarkStart w:id="29" w:name="Xcf40bf68260a0712c3ab8eb1851d6131ec681cb"/>
    <w:p>
      <w:pPr>
        <w:pStyle w:val="Heading1"/>
      </w:pPr>
      <w:r>
        <w:t xml:space="preserve">Thesis Proposal: The Evolving Role of the Banker in Iran Tehran's Financial Ecosystem</w:t>
      </w:r>
    </w:p>
    <w:bookmarkStart w:id="20" w:name="abstract"/>
    <w:p>
      <w:pPr>
        <w:pStyle w:val="Heading2"/>
      </w:pPr>
      <w:r>
        <w:t xml:space="preserve">Abstract</w:t>
      </w:r>
    </w:p>
    <w:p>
      <w:pPr>
        <w:pStyle w:val="FirstParagraph"/>
      </w:pPr>
      <w:r>
        <w:t xml:space="preserve">This Thesis Proposal outlines a rigorous academic investigation into the critical role and professional evolution of the Banker within Tehran, Iran’s economic capital. As Iran navigates complex geopolitical landscapes, domestic regulatory transformations, and digital financial innovation, the operational dynamics of banking professionals in Tehran demand urgent scholarly attention. This research directly addresses gaps in understanding how modern Banker practices are adapting to local constraints and opportunities. The study will specifically analyze the socio-professional challenges and strategic adaptations required of Bankers operating within Iran's unique financial framework, with Tehran as the central case study.</w:t>
      </w:r>
    </w:p>
    <w:bookmarkEnd w:id="20"/>
    <w:bookmarkStart w:id="21" w:name="X433c99e630359ba26364bb071ecc1ec73e45bd8"/>
    <w:p>
      <w:pPr>
        <w:pStyle w:val="Heading2"/>
      </w:pPr>
      <w:r>
        <w:t xml:space="preserve">1. Introduction: Contextualizing Banking in Iran Tehran</w:t>
      </w:r>
    </w:p>
    <w:p>
      <w:pPr>
        <w:pStyle w:val="FirstParagraph"/>
      </w:pPr>
      <w:r>
        <w:t xml:space="preserve">Tehran, as the undisputed financial and administrative heart of Iran, hosts the headquarters of all major commercial and specialized banks operating within the country. The banking sector here is not merely a service industry; it is a pivotal engine for national economic activity, foreign exchange management, and credit allocation. However, Iran’s banking environment operates under distinct legal frameworks (primarily Islamic Banking principles), intense regulatory oversight by the Central Bank of Iran (CBI), and persistent international sanctions. This complex context fundamentally shapes every interaction a Banker conducts daily in Tehran. The role of the modern Iranian Banker is no longer confined to traditional lending or account management; it has expanded into multifaceted domains including compliance navigation, fintech integration, and nuanced client relationship management under significant external pressure. This Thesis Proposal argues that understanding the evolving identity and capabilities of the Banker within Iran Tehran is essential for future financial stability, policy development, and economic resilience.</w:t>
      </w:r>
    </w:p>
    <w:bookmarkEnd w:id="21"/>
    <w:bookmarkStart w:id="22" w:name="problem-statement"/>
    <w:p>
      <w:pPr>
        <w:pStyle w:val="Heading2"/>
      </w:pPr>
      <w:r>
        <w:t xml:space="preserve">2. Problem Statement</w:t>
      </w:r>
    </w:p>
    <w:p>
      <w:pPr>
        <w:pStyle w:val="FirstParagraph"/>
      </w:pPr>
      <w:r>
        <w:t xml:space="preserve">Despite Iran’s banking sector being a cornerstone of its economy, there is a critical dearth of contemporary academic research focused specifically on the professional experiences, skill requirements, ethical dilemmas, and strategic adaptations required of the Banker in Tehran today. Existing literature often generalizes about Iranian banking or focuses solely on macroeconomic policies or Islamic finance theory without grounding them in the lived reality of banking professionals operating on the ground. The persistent impact of sanctions necessitates constant innovation in how a Banker sources liquidity, manages risk, and serves clients – yet these operational realities remain underexplored. Furthermore, Tehran’s unique demographic mix (from high-net-worth individuals to SMEs navigating complex regulations) creates specific demands on the Banker that differ significantly from other global banking hubs. This gap hinders effective policy-making and professional development strategies for Iran's financial sector.</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Iran Tehran context:</w:t>
      </w:r>
    </w:p>
    <w:p>
      <w:pPr>
        <w:numPr>
          <w:ilvl w:val="0"/>
          <w:numId w:val="1001"/>
        </w:numPr>
        <w:pStyle w:val="Compact"/>
      </w:pPr>
      <w:r>
        <w:t xml:space="preserve">To comprehensively map the core competencies, responsibilities, and daily challenges faced by a Banker operating within Tehran’s major banking institutions (both public and private).</w:t>
      </w:r>
    </w:p>
    <w:p>
      <w:pPr>
        <w:numPr>
          <w:ilvl w:val="0"/>
          <w:numId w:val="1001"/>
        </w:numPr>
        <w:pStyle w:val="Compact"/>
      </w:pPr>
      <w:r>
        <w:t xml:space="preserve">To analyze how international sanctions directly impact the operational scope, risk management strategies, and client service approaches of Bankers in Tehran.</w:t>
      </w:r>
    </w:p>
    <w:p>
      <w:pPr>
        <w:numPr>
          <w:ilvl w:val="0"/>
          <w:numId w:val="1001"/>
        </w:numPr>
        <w:pStyle w:val="Compact"/>
      </w:pPr>
      <w:r>
        <w:t xml:space="preserve">To investigate the adoption and adaptation of digital banking tools and fintech solutions by Bankers as a response to Iran’s economic environment and client demands in Tehran.</w:t>
      </w:r>
    </w:p>
    <w:p>
      <w:pPr>
        <w:numPr>
          <w:ilvl w:val="0"/>
          <w:numId w:val="1001"/>
        </w:numPr>
        <w:pStyle w:val="Compact"/>
      </w:pPr>
      <w:r>
        <w:t xml:space="preserve">To identify key ethical tensions (e.g., balancing regulatory compliance with client needs, navigating sanctions impact on service delivery) experienced by Bankers in Tehran.</w:t>
      </w:r>
    </w:p>
    <w:p>
      <w:pPr>
        <w:numPr>
          <w:ilvl w:val="0"/>
          <w:numId w:val="1001"/>
        </w:numPr>
        <w:pStyle w:val="Compact"/>
      </w:pPr>
      <w:r>
        <w:t xml:space="preserve">To develop actionable recommendations for enhancing the professional capacity of the Banker in Iran, specifically tailored to Tehran’s market dynamics and future economic scenarios.</w:t>
      </w:r>
    </w:p>
    <w:bookmarkEnd w:id="23"/>
    <w:bookmarkStart w:id="24" w:name="literature-review-key-gaps-addressed"/>
    <w:p>
      <w:pPr>
        <w:pStyle w:val="Heading2"/>
      </w:pPr>
      <w:r>
        <w:t xml:space="preserve">4. Literature Review (Key Gaps Addressed)</w:t>
      </w:r>
    </w:p>
    <w:p>
      <w:pPr>
        <w:pStyle w:val="FirstParagraph"/>
      </w:pPr>
      <w:r>
        <w:t xml:space="preserve">While significant scholarship exists on Islamic banking principles (e.g., Khan &amp; Ahmed, 2015) and Iran's macroeconomic policies (e.g., Alipour, 2020), a systematic study focusing *exclusively* on the professional role of the Banker within Tehran is notably absent. Most research overlooks the human element – how banking staff *actually function* under sanctions and specific local regulations. Studies like those by Rostami et al. (2018) touch on customer service in Iranian banks but fail to delve into the internal challenges faced by Bankers themselves regarding policy implementation and innovation constraints. This Thesis Proposal directly fills this critical void, shifting the focus from institutional structures to the indispensable human resource at their core: The Banker.</w:t>
      </w:r>
    </w:p>
    <w:bookmarkEnd w:id="24"/>
    <w:bookmarkStart w:id="25" w:name="methodology"/>
    <w:p>
      <w:pPr>
        <w:pStyle w:val="Heading2"/>
      </w:pPr>
      <w:r>
        <w:t xml:space="preserve">5. Methodology</w:t>
      </w:r>
    </w:p>
    <w:p>
      <w:pPr>
        <w:pStyle w:val="FirstParagraph"/>
      </w:pPr>
      <w:r>
        <w:t xml:space="preserve">The research will employ a robust mixed-methods approach designed for contextual validity within Iran Tehran:</w:t>
      </w:r>
    </w:p>
    <w:p>
      <w:pPr>
        <w:numPr>
          <w:ilvl w:val="0"/>
          <w:numId w:val="1002"/>
        </w:numPr>
        <w:pStyle w:val="Compact"/>
      </w:pPr>
      <w:r>
        <w:rPr>
          <w:bCs/>
          <w:b/>
        </w:rPr>
        <w:t xml:space="preserve">Qualitative Phase:</w:t>
      </w:r>
      <w:r>
        <w:t xml:space="preserve"> </w:t>
      </w:r>
      <w:r>
        <w:t xml:space="preserve">In-depth, semi-structured interviews (target: 30-40 Bankers) conducted across diverse Tehran branches (including CBI, Sepah Bank, Mellat Bank, and private banks like Saderat Iran). Interviews will explore personal experiences with sanctions impact, digital tool usage, ethical challenges, and skill development needs. Ethical approval from the relevant Iranian university ethics board will be secured.</w:t>
      </w:r>
    </w:p>
    <w:p>
      <w:pPr>
        <w:numPr>
          <w:ilvl w:val="0"/>
          <w:numId w:val="1002"/>
        </w:numPr>
        <w:pStyle w:val="Compact"/>
      </w:pPr>
      <w:r>
        <w:rPr>
          <w:bCs/>
          <w:b/>
        </w:rPr>
        <w:t xml:space="preserve">Quantitative Phase:</w:t>
      </w:r>
      <w:r>
        <w:t xml:space="preserve"> </w:t>
      </w:r>
      <w:r>
        <w:t xml:space="preserve">A structured survey distributed to 150+ Bankers across Tehran to quantify prevalence of specific challenges (e.g., percentage reporting difficulty in cross-border transactions due to sanctions), skill gaps, and perceived effectiveness of current training programs. Statistical analysis will identify key correlations.</w:t>
      </w:r>
    </w:p>
    <w:p>
      <w:pPr>
        <w:numPr>
          <w:ilvl w:val="0"/>
          <w:numId w:val="1002"/>
        </w:numPr>
        <w:pStyle w:val="Compact"/>
      </w:pPr>
      <w:r>
        <w:rPr>
          <w:bCs/>
          <w:b/>
        </w:rPr>
        <w:t xml:space="preserve">Contextual Analysis:</w:t>
      </w:r>
      <w:r>
        <w:t xml:space="preserve"> </w:t>
      </w:r>
      <w:r>
        <w:t xml:space="preserve">Systematic review of recent CBI regulations, policy documents, and economic reports specific to Tehran's banking activity during the study period (2021-2024), directly linking them to observed practices of the Banker.</w:t>
      </w:r>
    </w:p>
    <w:p>
      <w:pPr>
        <w:pStyle w:val="FirstParagraph"/>
      </w:pPr>
      <w:r>
        <w:t xml:space="preserve">Data collection will prioritize accessibility within Iran’s academic and professional environment, ensuring findings reflect authentic Tehran banking realities without reliance on external assumptions.</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Establishes the first comprehensive empirical study on the professional role of the Banker in Iran Tehran, enriching financial sociology and international banking literature with a critical Middle Eastern case.</w:t>
      </w:r>
    </w:p>
    <w:p>
      <w:pPr>
        <w:numPr>
          <w:ilvl w:val="0"/>
          <w:numId w:val="1003"/>
        </w:numPr>
        <w:pStyle w:val="Compact"/>
      </w:pPr>
      <w:r>
        <w:rPr>
          <w:bCs/>
          <w:b/>
        </w:rPr>
        <w:t xml:space="preserve">Policy-Oriented:</w:t>
      </w:r>
      <w:r>
        <w:t xml:space="preserve"> </w:t>
      </w:r>
      <w:r>
        <w:t xml:space="preserve">Provides concrete evidence-based insights for the Central Bank of Iran (CBI) and bank management boards to design more effective training programs, risk frameworks, and regulatory guidance specifically addressing Tehran's Banker needs.</w:t>
      </w:r>
    </w:p>
    <w:p>
      <w:pPr>
        <w:numPr>
          <w:ilvl w:val="0"/>
          <w:numId w:val="1003"/>
        </w:numPr>
        <w:pStyle w:val="Compact"/>
      </w:pPr>
      <w:r>
        <w:rPr>
          <w:bCs/>
          <w:b/>
        </w:rPr>
        <w:t xml:space="preserve">Professional:</w:t>
      </w:r>
      <w:r>
        <w:t xml:space="preserve"> </w:t>
      </w:r>
      <w:r>
        <w:t xml:space="preserve">Offers actionable strategies for banks to enhance their Tehran-based workforce capabilities, improving service quality, employee retention, and strategic agility in a challenging market.</w:t>
      </w:r>
    </w:p>
    <w:p>
      <w:pPr>
        <w:numPr>
          <w:ilvl w:val="0"/>
          <w:numId w:val="1003"/>
        </w:numPr>
        <w:pStyle w:val="Compact"/>
      </w:pPr>
      <w:r>
        <w:rPr>
          <w:bCs/>
          <w:b/>
        </w:rPr>
        <w:t xml:space="preserve">Economic:</w:t>
      </w:r>
      <w:r>
        <w:t xml:space="preserve"> </w:t>
      </w:r>
      <w:r>
        <w:t xml:space="preserve">By strengthening the professional foundation of the Banker in Iran's economic capital (Tehran), this research supports more efficient capital allocation and financial inclusion initiatives crucial for national economic health.</w:t>
      </w:r>
    </w:p>
    <w:bookmarkEnd w:id="26"/>
    <w:bookmarkStart w:id="27" w:name="conclusion"/>
    <w:p>
      <w:pPr>
        <w:pStyle w:val="Heading2"/>
      </w:pPr>
      <w:r>
        <w:t xml:space="preserve">7. Conclusion</w:t>
      </w:r>
    </w:p>
    <w:p>
      <w:pPr>
        <w:pStyle w:val="FirstParagraph"/>
      </w:pPr>
      <w:r>
        <w:t xml:space="preserve">The role of the Banker in Iran Tehran is at a pivotal inflection point. Navigating sanctions, embracing digital transformation, and meeting diverse client demands within a unique Islamic financial framework demand a sophisticated professional identity. This Thesis Proposal provides the essential roadmap for an investigation that moves beyond institutional analysis to center the indispensable human agent: The Banker. The findings will not only advance academic knowledge but also deliver practical value to Iran's financial ecosystem, directly contributing to Tehran’s continued role as the nation's vital economic nerve center. Understanding and empowering the Banker in Iran Tehran is not merely an academic exercise; it is a strategic imperative for sustainable financial development.</w:t>
      </w:r>
    </w:p>
    <w:bookmarkEnd w:id="27"/>
    <w:bookmarkStart w:id="28" w:name="keywords"/>
    <w:p>
      <w:pPr>
        <w:pStyle w:val="Heading2"/>
      </w:pPr>
      <w:r>
        <w:t xml:space="preserve">8. Keywords</w:t>
      </w:r>
    </w:p>
    <w:p>
      <w:pPr>
        <w:pStyle w:val="FirstParagraph"/>
      </w:pPr>
      <w:r>
        <w:t xml:space="preserve">Thesis Proposal, Banker, Iran Tehran, Banking Sector, Islamic Finance, Financial Innovation, Sanctions Impact, Professional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Iran Tehran's Financial Ecosystem</dc:title>
  <dc:creator/>
  <dc:language>en</dc:language>
  <cp:keywords/>
  <dcterms:created xsi:type="dcterms:W3CDTF">2026-07-15T12:40:15Z</dcterms:created>
  <dcterms:modified xsi:type="dcterms:W3CDTF">2026-07-15T12:40:15Z</dcterms:modified>
</cp:coreProperties>
</file>

<file path=docProps/custom.xml><?xml version="1.0" encoding="utf-8"?>
<Properties xmlns="http://schemas.openxmlformats.org/officeDocument/2006/custom-properties" xmlns:vt="http://schemas.openxmlformats.org/officeDocument/2006/docPropsVTypes"/>
</file>