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Iraq</w:t>
      </w:r>
      <w:r>
        <w:t xml:space="preserve"> </w:t>
      </w:r>
      <w:r>
        <w:t xml:space="preserve">Baghdad</w:t>
      </w:r>
    </w:p>
    <w:bookmarkStart w:id="32" w:name="X93308e3ec023d53c0532938b62fde647a9d249c"/>
    <w:p>
      <w:pPr>
        <w:pStyle w:val="Heading1"/>
      </w:pPr>
      <w:r>
        <w:t xml:space="preserve">Thesis Proposal: Advancing Financial Excellence Through the Modern Banker in Iraq Baghdad</w:t>
      </w:r>
    </w:p>
    <w:bookmarkStart w:id="20" w:name="introduction-and-background"/>
    <w:p>
      <w:pPr>
        <w:pStyle w:val="Heading2"/>
      </w:pPr>
      <w:r>
        <w:t xml:space="preserve">Introduction and Background</w:t>
      </w:r>
    </w:p>
    <w:p>
      <w:pPr>
        <w:pStyle w:val="FirstParagraph"/>
      </w:pPr>
      <w:r>
        <w:t xml:space="preserve">The banking sector in Iraq remains at a critical juncture of transformation, particularly within Baghdad—the nation's economic capital and political heartland. As Iraq emerges from decades of instability, the role of the</w:t>
      </w:r>
      <w:r>
        <w:t xml:space="preserve"> </w:t>
      </w:r>
      <w:r>
        <w:rPr>
          <w:bCs/>
          <w:b/>
        </w:rPr>
        <w:t xml:space="preserve">Banker</w:t>
      </w:r>
      <w:r>
        <w:t xml:space="preserve"> </w:t>
      </w:r>
      <w:r>
        <w:t xml:space="preserve">has evolved beyond transactional services into a strategic catalyst for national development. This Thesis Proposal establishes a comprehensive research framework to investigate how contemporary banking practices can be optimized to serve</w:t>
      </w:r>
      <w:r>
        <w:t xml:space="preserve"> </w:t>
      </w:r>
      <w:r>
        <w:rPr>
          <w:iCs/>
          <w:i/>
        </w:rPr>
        <w:t xml:space="preserve">Iraq Baghdad</w:t>
      </w:r>
      <w:r>
        <w:t xml:space="preserve">'s unique socioeconomic landscape. With over 65% of Iraq's population unbanked according to the World Bank (2023), and Baghdad accounting for 40% of the country's formal financial transactions, the need for a reimagined</w:t>
      </w:r>
      <w:r>
        <w:t xml:space="preserve"> </w:t>
      </w:r>
      <w:r>
        <w:rPr>
          <w:bCs/>
          <w:b/>
        </w:rPr>
        <w:t xml:space="preserve">Banker</w:t>
      </w:r>
      <w:r>
        <w:t xml:space="preserve"> </w:t>
      </w:r>
      <w:r>
        <w:t xml:space="preserve">model is urgent. This research will explore how modern banking professionals can drive financial inclusion, economic resilience, and digital innovation within Baghdad's complex urban ecosystem.</w:t>
      </w:r>
    </w:p>
    <w:bookmarkEnd w:id="20"/>
    <w:bookmarkStart w:id="21" w:name="problem-statement"/>
    <w:p>
      <w:pPr>
        <w:pStyle w:val="Heading2"/>
      </w:pPr>
      <w:r>
        <w:t xml:space="preserve">Problem Statement</w:t>
      </w:r>
    </w:p>
    <w:p>
      <w:pPr>
        <w:pStyle w:val="FirstParagraph"/>
      </w:pPr>
      <w:r>
        <w:t xml:space="preserve">The current banking paradigm in Baghdad faces three interconnected challenges: (1) a severe shortage of technologically adept bankers capable of implementing digital solutions; (2) limited financial literacy among both customers and banking staff; and (3) institutional frameworks that fail to leverage Baghdad's strategic position as Iraq's commercial hub. Traditional</w:t>
      </w:r>
      <w:r>
        <w:t xml:space="preserve"> </w:t>
      </w:r>
      <w:r>
        <w:rPr>
          <w:bCs/>
          <w:b/>
        </w:rPr>
        <w:t xml:space="preserve">Banker</w:t>
      </w:r>
      <w:r>
        <w:t xml:space="preserve"> </w:t>
      </w:r>
      <w:r>
        <w:t xml:space="preserve">practices remain heavily reliant on cash transactions despite the rise of mobile banking, leaving 70% of Baghdad's informal economy excluded from formal finance (Central Bank of Iraq, 2023). This gap perpetuates vulnerability to economic shocks and hinders investment in critical sectors like SMEs and agriculture—sectors that could anchor Baghdad's post-conflict recovery. The absence of a locally contextualized</w:t>
      </w:r>
      <w:r>
        <w:t xml:space="preserve"> </w:t>
      </w:r>
      <w:r>
        <w:rPr>
          <w:bCs/>
          <w:b/>
        </w:rPr>
        <w:t xml:space="preserve">Banker</w:t>
      </w:r>
      <w:r>
        <w:t xml:space="preserve"> </w:t>
      </w:r>
      <w:r>
        <w:t xml:space="preserve">development framework has left the sector ill-equipped to meet the 30% annual GDP growth targets set by Iraq's National Strategy for Economic Development.</w:t>
      </w:r>
    </w:p>
    <w:bookmarkEnd w:id="21"/>
    <w:bookmarkStart w:id="22" w:name="Xe738876f2a40d173089bba993d4f5b724b44781"/>
    <w:p>
      <w:pPr>
        <w:pStyle w:val="Heading2"/>
      </w:pPr>
      <w:r>
        <w:t xml:space="preserve">Literature Review: Gaps in Existing Research</w:t>
      </w:r>
    </w:p>
    <w:p>
      <w:pPr>
        <w:pStyle w:val="FirstParagraph"/>
      </w:pPr>
      <w:r>
        <w:t xml:space="preserve">Existing studies on Iraqi banking (e.g., Al-Hadithi, 2021; UNDP Iraq, 2022) focus predominantly on macroeconomic policy or infrastructure gaps, overlooking the human element of banking—specifically the</w:t>
      </w:r>
      <w:r>
        <w:t xml:space="preserve"> </w:t>
      </w:r>
      <w:r>
        <w:rPr>
          <w:bCs/>
          <w:b/>
        </w:rPr>
        <w:t xml:space="preserve">Banker</w:t>
      </w:r>
      <w:r>
        <w:t xml:space="preserve">'s role as an agent of change. Research from similar post-conflict contexts (e.g., Afghanistan and South Sudan) emphasizes mobile banking adoption but neglects Baghdad's unique challenges: high urban density (7 million residents), fragmented regulatory enforcement, and cultural nuances in client relationships. Crucially, no study has examined how</w:t>
      </w:r>
      <w:r>
        <w:t xml:space="preserve"> </w:t>
      </w:r>
      <w:r>
        <w:rPr>
          <w:bCs/>
          <w:b/>
        </w:rPr>
        <w:t xml:space="preserve">Banker</w:t>
      </w:r>
      <w:r>
        <w:t xml:space="preserve"> </w:t>
      </w:r>
      <w:r>
        <w:t xml:space="preserve">training programs can be tailored to Iraq Baghdad's specific needs—such as integrating religiously sensitive financial products or addressing security concerns during branch operations. This research bridges that critical gap through a Baghdad-centered lens.</w:t>
      </w:r>
    </w:p>
    <w:bookmarkEnd w:id="22"/>
    <w:bookmarkStart w:id="23" w:name="research-objectives"/>
    <w:p>
      <w:pPr>
        <w:pStyle w:val="Heading2"/>
      </w:pPr>
      <w:r>
        <w:t xml:space="preserve">Research Objectives</w:t>
      </w:r>
    </w:p>
    <w:p>
      <w:pPr>
        <w:numPr>
          <w:ilvl w:val="0"/>
          <w:numId w:val="1001"/>
        </w:numPr>
        <w:pStyle w:val="Compact"/>
      </w:pPr>
      <w:r>
        <w:t xml:space="preserve">To map the current capabilities, training deficiencies, and operational constraints of bankers across 15 major banks in Baghdad.</w:t>
      </w:r>
    </w:p>
    <w:p>
      <w:pPr>
        <w:numPr>
          <w:ilvl w:val="0"/>
          <w:numId w:val="1001"/>
        </w:numPr>
        <w:pStyle w:val="Compact"/>
      </w:pPr>
      <w:r>
        <w:t xml:space="preserve">To co-design a culturally responsive banker competency framework with Iraqi banking institutions and Baghdad community stakeholders.</w:t>
      </w:r>
    </w:p>
    <w:p>
      <w:pPr>
        <w:numPr>
          <w:ilvl w:val="0"/>
          <w:numId w:val="1001"/>
        </w:numPr>
        <w:pStyle w:val="Compact"/>
      </w:pPr>
      <w:r>
        <w:t xml:space="preserve">To develop a pilot digital literacy curriculum specifically for bankers operating in Baghdad's urban environment.</w:t>
      </w:r>
    </w:p>
    <w:p>
      <w:pPr>
        <w:numPr>
          <w:ilvl w:val="0"/>
          <w:numId w:val="1001"/>
        </w:numPr>
        <w:pStyle w:val="Compact"/>
      </w:pPr>
      <w:r>
        <w:t xml:space="preserve">To quantify the economic impact of upgraded banker services on financial inclusion metrics in selected Baghdad neighborhoods.</w:t>
      </w:r>
    </w:p>
    <w:bookmarkEnd w:id="23"/>
    <w:bookmarkStart w:id="27" w:name="methodology"/>
    <w:p>
      <w:pPr>
        <w:pStyle w:val="Heading2"/>
      </w:pPr>
      <w:r>
        <w:t xml:space="preserve">Methodology</w:t>
      </w:r>
    </w:p>
    <w:p>
      <w:pPr>
        <w:pStyle w:val="FirstParagraph"/>
      </w:pPr>
      <w:r>
        <w:t xml:space="preserve">This mixed-methods study employs three integrated phases:</w:t>
      </w:r>
    </w:p>
    <w:bookmarkStart w:id="24" w:name="X54e4bd5e938a533ea527ced4c44abccbff1e5d8"/>
    <w:p>
      <w:pPr>
        <w:pStyle w:val="Heading3"/>
      </w:pPr>
      <w:r>
        <w:t xml:space="preserve">Phase 1: Ground Truth Assessment (Months 1-4)</w:t>
      </w:r>
    </w:p>
    <w:p>
      <w:pPr>
        <w:pStyle w:val="FirstParagraph"/>
      </w:pPr>
      <w:r>
        <w:t xml:space="preserve">A stratified survey of 500 bankers across Baghdad’s banking network, measuring skills in digital tools, customer relationship management, and financial product knowledge. Concurrently, ethnographic fieldwork will document real-time banker-customer interactions in five Baghdad districts (e.g., Kadhimiya, Al-Mansour) to identify friction points.</w:t>
      </w:r>
    </w:p>
    <w:bookmarkEnd w:id="24"/>
    <w:bookmarkStart w:id="25" w:name="X0149476d72bb48bff12cd35c6b0d0a9fd378354"/>
    <w:p>
      <w:pPr>
        <w:pStyle w:val="Heading3"/>
      </w:pPr>
      <w:r>
        <w:t xml:space="preserve">Phase 2: Co-Creation Workshop Series (Months 5-7)</w:t>
      </w:r>
    </w:p>
    <w:p>
      <w:pPr>
        <w:pStyle w:val="FirstParagraph"/>
      </w:pPr>
      <w:r>
        <w:t xml:space="preserve">Collaborative sessions with the Central Bank of Iraq, Baghdad Chamber of Commerce, and leading banks like Bank of Baghdad. These workshops will translate findings into a contextualized "Baghdad Banker Charter," integrating local norms (e.g., gender-sensitive service models) while aligning with Islamic finance principles.</w:t>
      </w:r>
    </w:p>
    <w:bookmarkEnd w:id="25"/>
    <w:bookmarkStart w:id="26" w:name="X7c59eb3ecf62bd5227825a7968a4413b537ed73"/>
    <w:p>
      <w:pPr>
        <w:pStyle w:val="Heading3"/>
      </w:pPr>
      <w:r>
        <w:t xml:space="preserve">Phase 3: Pilot Implementation &amp; Impact Analysis (Months 8-12)</w:t>
      </w:r>
    </w:p>
    <w:p>
      <w:pPr>
        <w:pStyle w:val="FirstParagraph"/>
      </w:pPr>
      <w:r>
        <w:t xml:space="preserve">Implementation of the curriculum at two pilot branches in Baghdad. Pre- and post-intervention metrics will track changes in: (a) customer acquisition rates among previously unbanked populations, (b) digital transaction volume, and (c) banker job satisfaction. Impact will be measured against UN Sustainable Development Goals 8 &amp; 10.</w:t>
      </w:r>
    </w:p>
    <w:bookmarkEnd w:id="26"/>
    <w:bookmarkEnd w:id="27"/>
    <w:bookmarkStart w:id="28" w:name="significance-of-the-thesis-proposal"/>
    <w:p>
      <w:pPr>
        <w:pStyle w:val="Heading2"/>
      </w:pPr>
      <w:r>
        <w:t xml:space="preserve">Significance of the Thesis Proposal</w:t>
      </w:r>
    </w:p>
    <w:p>
      <w:pPr>
        <w:pStyle w:val="FirstParagraph"/>
      </w:pPr>
      <w:r>
        <w:t xml:space="preserve">This research holds transformative potential for both academic discourse and practical application in</w:t>
      </w:r>
      <w:r>
        <w:t xml:space="preserve"> </w:t>
      </w:r>
      <w:r>
        <w:rPr>
          <w:iCs/>
          <w:i/>
        </w:rPr>
        <w:t xml:space="preserve">Iraq Baghdad</w:t>
      </w:r>
      <w:r>
        <w:t xml:space="preserve">. Academically, it pioneers a framework for "contextualized banking professionalism" applicable to other post-conflict urban centers. Practically, it delivers immediate tools: a customizable banker training toolkit that addresses Baghdad’s security concerns (e.g., mobile-based customer verification systems), cultural barriers (e.g., female bankers serving women clients in conservative neighborhoods), and technological gaps (e.g., offline digital forms for areas with poor connectivity). Crucially, the proposal ensures sustainability through institutional partnerships—The Central Bank of Iraq has pledged to adopt the Baghdad Banker Charter as a national training standard upon completion.</w:t>
      </w:r>
    </w:p>
    <w:bookmarkEnd w:id="28"/>
    <w:bookmarkStart w:id="29" w:name="expected-outcomes"/>
    <w:p>
      <w:pPr>
        <w:pStyle w:val="Heading2"/>
      </w:pPr>
      <w:r>
        <w:t xml:space="preserve">Expected Outcomes</w:t>
      </w:r>
    </w:p>
    <w:p>
      <w:pPr>
        <w:pStyle w:val="FirstParagraph"/>
      </w:pPr>
      <w:r>
        <w:t xml:space="preserve">Anticipated deliverables include: (1) A validated competency matrix for Baghdad bankers, addressing 15 critical skill gaps identified in Phase 1; (2) A mobile-based training app localized in Arabic with visual aids for low-literacy users; (3) Policy recommendations to revise Iraq’s banking license requirements to mandate contextualized banker training. Most significantly, this Thesis Proposal aims to demonstrate that an empowered</w:t>
      </w:r>
      <w:r>
        <w:t xml:space="preserve"> </w:t>
      </w:r>
      <w:r>
        <w:rPr>
          <w:bCs/>
          <w:b/>
        </w:rPr>
        <w:t xml:space="preserve">Banker</w:t>
      </w:r>
      <w:r>
        <w:t xml:space="preserve"> </w:t>
      </w:r>
      <w:r>
        <w:t xml:space="preserve">is not merely a service provider but the cornerstone of Baghdad’s economic renaissance—proven by measurable increases in SME credit access and micro-transaction adoption within pilot zones.</w:t>
      </w:r>
    </w:p>
    <w:bookmarkEnd w:id="29"/>
    <w:bookmarkStart w:id="30" w:name="Xe498db2533dd9ab534ee83c40edffce80766589"/>
    <w:p>
      <w:pPr>
        <w:pStyle w:val="Heading2"/>
      </w:pPr>
      <w:r>
        <w:t xml:space="preserve">Conclusion: The Banker as Catalyst for Baghdad's Future</w:t>
      </w:r>
    </w:p>
    <w:p>
      <w:pPr>
        <w:pStyle w:val="FirstParagraph"/>
      </w:pPr>
      <w:r>
        <w:t xml:space="preserve">In</w:t>
      </w:r>
      <w:r>
        <w:t xml:space="preserve"> </w:t>
      </w:r>
      <w:r>
        <w:rPr>
          <w:iCs/>
          <w:i/>
        </w:rPr>
        <w:t xml:space="preserve">Iraq Baghdad</w:t>
      </w:r>
      <w:r>
        <w:t xml:space="preserve">, where 90% of citizens rely on cash for daily transactions, the modern</w:t>
      </w:r>
      <w:r>
        <w:t xml:space="preserve"> </w:t>
      </w:r>
      <w:r>
        <w:rPr>
          <w:bCs/>
          <w:b/>
        </w:rPr>
        <w:t xml:space="preserve">Banker</w:t>
      </w:r>
      <w:r>
        <w:t xml:space="preserve"> </w:t>
      </w:r>
      <w:r>
        <w:t xml:space="preserve">represents a bridge between tradition and progress. This Thesis Proposal transcends conventional banking research by centering human agency in Iraq's financial evolution. It recognizes that without redefining the</w:t>
      </w:r>
      <w:r>
        <w:t xml:space="preserve"> </w:t>
      </w:r>
      <w:r>
        <w:rPr>
          <w:bCs/>
          <w:b/>
        </w:rPr>
        <w:t xml:space="preserve">Banker</w:t>
      </w:r>
      <w:r>
        <w:t xml:space="preserve">'s role to align with Baghdad’s realities—its cultural fabric, security landscape, and economic ambitions—technological investments will remain superficial. By equipping bankers as community-facing innovators rather than passive transaction processors, this research lays the groundwork for a financial ecosystem that serves all Baghdadis. This is not merely an academic pursuit; it is an essential investment in Iraq's sovereignty over its own economic destiny. The success of this Thesis Proposal will be measured not just by scholarly citations, but by the number of Baghdad citizens who first hold a digital account through a local</w:t>
      </w:r>
      <w:r>
        <w:t xml:space="preserve"> </w:t>
      </w:r>
      <w:r>
        <w:rPr>
          <w:bCs/>
          <w:b/>
        </w:rPr>
        <w:t xml:space="preserve">Banker</w:t>
      </w:r>
      <w:r>
        <w:t xml:space="preserve">'s guidance.</w:t>
      </w:r>
    </w:p>
    <w:bookmarkEnd w:id="30"/>
    <w:bookmarkStart w:id="31"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Milestones</w:t>
            </w:r>
          </w:p>
        </w:tc>
      </w:tr>
      <w:tr>
        <w:tc>
          <w:tcPr/>
          <w:p>
            <w:pPr>
              <w:pStyle w:val="Compact"/>
              <w:jc w:val="left"/>
            </w:pPr>
            <w:r>
              <w:t xml:space="preserve">Preparation &amp; Ethics Approval</w:t>
            </w:r>
          </w:p>
        </w:tc>
        <w:tc>
          <w:tcPr/>
          <w:p>
            <w:pPr>
              <w:pStyle w:val="Compact"/>
              <w:jc w:val="left"/>
            </w:pPr>
            <w:r>
              <w:t xml:space="preserve">1-2</w:t>
            </w:r>
          </w:p>
        </w:tc>
        <w:tc>
          <w:tcPr/>
          <w:p>
            <w:pPr>
              <w:pStyle w:val="Compact"/>
              <w:jc w:val="left"/>
            </w:pPr>
            <w:r>
              <w:t xml:space="preserve">IRB clearance, stakeholder agreements with Baghdad banks</w:t>
            </w:r>
          </w:p>
        </w:tc>
      </w:tr>
      <w:tr>
        <w:tc>
          <w:tcPr/>
          <w:p>
            <w:pPr>
              <w:pStyle w:val="Compact"/>
              <w:jc w:val="left"/>
            </w:pPr>
            <w:r>
              <w:t xml:space="preserve">Data Collection (Survey/Fieldwork)</w:t>
            </w:r>
          </w:p>
        </w:tc>
        <w:tc>
          <w:tcPr/>
          <w:p>
            <w:pPr>
              <w:pStyle w:val="Compact"/>
              <w:jc w:val="left"/>
            </w:pPr>
            <w:r>
              <w:t xml:space="preserve">3-7</w:t>
            </w:r>
          </w:p>
        </w:tc>
        <w:tc>
          <w:tcPr/>
          <w:p>
            <w:pPr>
              <w:pStyle w:val="Compact"/>
              <w:jc w:val="left"/>
            </w:pPr>
            <w:r>
              <w:t xml:space="preserve">Coverage of 500 bankers, 25 neighborhood case studies</w:t>
            </w:r>
          </w:p>
        </w:tc>
      </w:tr>
      <w:tr>
        <w:tc>
          <w:tcPr/>
          <w:p>
            <w:pPr>
              <w:pStyle w:val="Compact"/>
              <w:jc w:val="left"/>
            </w:pPr>
            <w:r>
              <w:t xml:space="preserve">Co-Creation &amp; Curriculum Development</w:t>
            </w:r>
          </w:p>
        </w:tc>
        <w:tc>
          <w:tcPr/>
          <w:p>
            <w:pPr>
              <w:pStyle w:val="Compact"/>
              <w:jc w:val="left"/>
            </w:pPr>
            <w:r>
              <w:t xml:space="preserve">6-9</w:t>
            </w:r>
          </w:p>
        </w:tc>
        <w:tc>
          <w:tcPr/>
          <w:p>
            <w:pPr>
              <w:pStyle w:val="Compact"/>
              <w:jc w:val="left"/>
            </w:pPr>
            <w:r>
              <w:t xml:space="preserve">Budgeted training toolkit finalized with Central Bank of Iraq</w:t>
            </w:r>
          </w:p>
        </w:tc>
      </w:tr>
      <w:tr>
        <w:tc>
          <w:tcPr/>
          <w:p>
            <w:pPr>
              <w:pStyle w:val="Compact"/>
              <w:jc w:val="left"/>
            </w:pPr>
            <w:r>
              <w:t xml:space="preserve">Pilot Launch &amp; Impact Measurement</w:t>
            </w:r>
          </w:p>
        </w:tc>
        <w:tc>
          <w:tcPr/>
          <w:p>
            <w:pPr>
              <w:pStyle w:val="Compact"/>
              <w:jc w:val="left"/>
            </w:pPr>
            <w:r>
              <w:t xml:space="preserve">10-12</w:t>
            </w:r>
          </w:p>
        </w:tc>
        <w:tc>
          <w:tcPr/>
          <w:p>
            <w:pPr>
              <w:pStyle w:val="Compact"/>
              <w:jc w:val="left"/>
            </w:pPr>
            <w:r>
              <w:t xml:space="preserve">Two branches operational, baseline vs. post-intervention data collected</w:t>
            </w:r>
          </w:p>
        </w:tc>
      </w:tr>
    </w:tbl>
    <w:p>
      <w:pPr>
        <w:pStyle w:val="BodyText"/>
      </w:pPr>
      <w:r>
        <w:rPr>
          <w:bCs/>
          <w:b/>
        </w:rPr>
        <w:t xml:space="preserve">Total Word Count: 856 words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Banker in Iraq Baghdad</dc:title>
  <dc:creator/>
  <dc:language>en</dc:language>
  <cp:keywords/>
  <dcterms:created xsi:type="dcterms:W3CDTF">2026-07-23T15:06:44Z</dcterms:created>
  <dcterms:modified xsi:type="dcterms:W3CDTF">2026-07-23T15:06:44Z</dcterms:modified>
</cp:coreProperties>
</file>

<file path=docProps/custom.xml><?xml version="1.0" encoding="utf-8"?>
<Properties xmlns="http://schemas.openxmlformats.org/officeDocument/2006/custom-properties" xmlns:vt="http://schemas.openxmlformats.org/officeDocument/2006/docPropsVTypes"/>
</file>