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Kyoto</w:t>
      </w:r>
    </w:p>
    <w:bookmarkStart w:id="27" w:name="X172ec9c73ea678b3889dc1a6e72ee38b8e1b614"/>
    <w:p>
      <w:pPr>
        <w:pStyle w:val="Heading1"/>
      </w:pPr>
      <w:r>
        <w:t xml:space="preserve">Thesis Proposal: The Evolving Role of the Banker in Contemporary Kyoto, Japan</w:t>
      </w:r>
    </w:p>
    <w:bookmarkStart w:id="20" w:name="introduction-and-background"/>
    <w:p>
      <w:pPr>
        <w:pStyle w:val="Heading2"/>
      </w:pPr>
      <w:r>
        <w:t xml:space="preserve">Introduction and Background</w:t>
      </w:r>
    </w:p>
    <w:p>
      <w:pPr>
        <w:pStyle w:val="FirstParagraph"/>
      </w:pPr>
      <w:r>
        <w:t xml:space="preserve">The financial landscape of Japan has undergone profound transformation since the Heisei era, yet the traditional banking ethos deeply embedded in Japanese society continues to shape institutional practices. This thesis proposal examines the contemporary role of the Banker within Kyoto's unique socio-economic ecosystem—a city renowned for its historical preservation alongside technological advancement. Kyoto, as Japan's cultural heartland and a hub for both traditional craftsmanship and innovation-driven enterprises, presents an unparalleled case study for understanding how modern banking adapts to coexist with centuries-old values. The thesis investigates whether the Banker in Kyoto can simultaneously uphold the principles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while navigating digital disruption, demographic decline, and global financial standards.</w:t>
      </w:r>
    </w:p>
    <w:bookmarkEnd w:id="20"/>
    <w:bookmarkStart w:id="21" w:name="problem-statement"/>
    <w:p>
      <w:pPr>
        <w:pStyle w:val="Heading2"/>
      </w:pPr>
      <w:r>
        <w:t xml:space="preserve">Problem Statement</w:t>
      </w:r>
    </w:p>
    <w:p>
      <w:pPr>
        <w:pStyle w:val="FirstParagraph"/>
      </w:pPr>
      <w:r>
        <w:t xml:space="preserve">Kyoto's banking sector faces a critical tension: traditional relationship-based finance clashes with the demands of fintech acceleration. While Tokyo-centric banks prioritize algorithmic efficiency, Kyoto's local institutions must serve aging populations in historic districts like Gion and Nishijin, alongside burgeoning startups in the Kyoto Innovation Hub. This duality creates a paradox where the Banker risks either becoming obsolete by clinging to pre-digital practices or losing cultural authenticity by adopting impersonal global models. Current academic literature lacks granular analysis of how these pressures manifest specifically in Kyoto—where</w:t>
      </w:r>
      <w:r>
        <w:t xml:space="preserve"> </w:t>
      </w:r>
      <w:r>
        <w:rPr>
          <w:iCs/>
          <w:i/>
        </w:rPr>
        <w:t xml:space="preserve">shokunin kishitsu</w:t>
      </w:r>
      <w:r>
        <w:t xml:space="preserve"> </w:t>
      </w:r>
      <w:r>
        <w:t xml:space="preserve">(artisanal dedication) and</w:t>
      </w:r>
      <w:r>
        <w:t xml:space="preserve"> </w:t>
      </w:r>
      <w:r>
        <w:rPr>
          <w:iCs/>
          <w:i/>
        </w:rPr>
        <w:t xml:space="preserve">nemawashi</w:t>
      </w:r>
      <w:r>
        <w:t xml:space="preserve"> </w:t>
      </w:r>
      <w:r>
        <w:t xml:space="preserve">(consensus-building) remain vital business rituals. This gap necessitates focused research to redefine the Banker's role within Japan Kyoto's distinctive context.</w:t>
      </w:r>
    </w:p>
    <w:bookmarkEnd w:id="21"/>
    <w:bookmarkStart w:id="22" w:name="research-questions"/>
    <w:p>
      <w:pPr>
        <w:pStyle w:val="Heading2"/>
      </w:pPr>
      <w:r>
        <w:t xml:space="preserve">Research Questions</w:t>
      </w:r>
    </w:p>
    <w:p>
      <w:pPr>
        <w:numPr>
          <w:ilvl w:val="0"/>
          <w:numId w:val="1001"/>
        </w:numPr>
        <w:pStyle w:val="Compact"/>
      </w:pPr>
      <w:r>
        <w:t xml:space="preserve">How do Kyoto-based bankers integrate traditional Japanese relational finance (</w:t>
      </w:r>
      <w:r>
        <w:rPr>
          <w:iCs/>
          <w:i/>
        </w:rPr>
        <w:t xml:space="preserve">kachi-keiei</w:t>
      </w:r>
      <w:r>
        <w:t xml:space="preserve">) with digital banking tools without compromising community trust?</w:t>
      </w:r>
    </w:p>
    <w:p>
      <w:pPr>
        <w:numPr>
          <w:ilvl w:val="0"/>
          <w:numId w:val="1001"/>
        </w:numPr>
        <w:pStyle w:val="Compact"/>
      </w:pPr>
      <w:r>
        <w:t xml:space="preserve">In what ways does Kyoto's historical identity as a "living museum" influence the Banker's approach to client relationships in sectors like tea ceremony, textile production, and tourism businesses?</w:t>
      </w:r>
    </w:p>
    <w:p>
      <w:pPr>
        <w:numPr>
          <w:ilvl w:val="0"/>
          <w:numId w:val="1001"/>
        </w:numPr>
        <w:pStyle w:val="Compact"/>
      </w:pPr>
      <w:r>
        <w:t xml:space="preserve">Can the Banker serve as a cultural bridge between Kyoto's artisanal heritage and Japan's global financial ambitions, or does this role inevitably dilute both?</w:t>
      </w:r>
    </w:p>
    <w:bookmarkEnd w:id="22"/>
    <w:bookmarkStart w:id="23" w:name="literature-review-key-gaps"/>
    <w:p>
      <w:pPr>
        <w:pStyle w:val="Heading2"/>
      </w:pPr>
      <w:r>
        <w:t xml:space="preserve">Literature Review (Key Gaps)</w:t>
      </w:r>
    </w:p>
    <w:p>
      <w:pPr>
        <w:pStyle w:val="FirstParagraph"/>
      </w:pPr>
      <w:r>
        <w:t xml:space="preserve">Existing scholarship on Japanese banking predominantly centers on Tokyo's capital markets (e.g., Aoki, 2019) or rural agricultural credit systems (Sato, 2021). Studies by Nakamura (2023) analyze Kyoto's tourism economy but omit financial intermediation. Crucially, no research examines how Kyoto's</w:t>
      </w:r>
      <w:r>
        <w:t xml:space="preserve"> </w:t>
      </w:r>
      <w:r>
        <w:rPr>
          <w:iCs/>
          <w:i/>
        </w:rPr>
        <w:t xml:space="preserve">geiko</w:t>
      </w:r>
      <w:r>
        <w:t xml:space="preserve"> </w:t>
      </w:r>
      <w:r>
        <w:t xml:space="preserve">(maiko) cultural institutions or</w:t>
      </w:r>
      <w:r>
        <w:t xml:space="preserve"> </w:t>
      </w:r>
      <w:r>
        <w:rPr>
          <w:iCs/>
          <w:i/>
        </w:rPr>
        <w:t xml:space="preserve">machiya</w:t>
      </w:r>
      <w:r>
        <w:t xml:space="preserve"> </w:t>
      </w:r>
      <w:r>
        <w:t xml:space="preserve">(traditional townhouses) influence banking service design. This thesis addresses these omissions by positioning the Banker not merely as a financial operator but as a custodian of Kyoto's socio-economic continuity—a concept absent in mainstream finance literature.</w:t>
      </w:r>
    </w:p>
    <w:bookmarkEnd w:id="23"/>
    <w:bookmarkStart w:id="24" w:name="methodology"/>
    <w:p>
      <w:pPr>
        <w:pStyle w:val="Heading2"/>
      </w:pPr>
      <w:r>
        <w:t xml:space="preserve">Methodology</w:t>
      </w:r>
    </w:p>
    <w:p>
      <w:pPr>
        <w:pStyle w:val="FirstParagraph"/>
      </w:pPr>
      <w:r>
        <w:t xml:space="preserve">This qualitative, ethnographic study employs triangulated methods over 18 months:</w:t>
      </w:r>
    </w:p>
    <w:p>
      <w:pPr>
        <w:numPr>
          <w:ilvl w:val="0"/>
          <w:numId w:val="1002"/>
        </w:numPr>
        <w:pStyle w:val="Compact"/>
      </w:pPr>
      <w:r>
        <w:rPr>
          <w:bCs/>
          <w:b/>
        </w:rPr>
        <w:t xml:space="preserve">Participant Observation:</w:t>
      </w:r>
      <w:r>
        <w:t xml:space="preserve"> </w:t>
      </w:r>
      <w:r>
        <w:t xml:space="preserve">Shadowing Banker staff at Kyoto branch offices of Mitsubishi UFJ Financial Group (MUFG) and local credit unions like Kyoto Shinkin Bank.</w:t>
      </w:r>
    </w:p>
    <w:p>
      <w:pPr>
        <w:numPr>
          <w:ilvl w:val="0"/>
          <w:numId w:val="1002"/>
        </w:numPr>
        <w:pStyle w:val="Compact"/>
      </w:pPr>
      <w:r>
        <w:rPr>
          <w:bCs/>
          <w:b/>
        </w:rPr>
        <w:t xml:space="preserve">Semi-Structured Interviews:</w:t>
      </w:r>
      <w:r>
        <w:t xml:space="preserve"> </w:t>
      </w:r>
      <w:r>
        <w:t xml:space="preserve">30 in-depth conversations with bankers (15 senior, 15 junior), artisan business owners, and cultural institution managers.</w:t>
      </w:r>
    </w:p>
    <w:p>
      <w:pPr>
        <w:numPr>
          <w:ilvl w:val="0"/>
          <w:numId w:val="1002"/>
        </w:numPr>
        <w:pStyle w:val="Compact"/>
      </w:pPr>
      <w:r>
        <w:rPr>
          <w:bCs/>
          <w:b/>
        </w:rPr>
        <w:t xml:space="preserve">Cultural Artifact Analysis:</w:t>
      </w:r>
      <w:r>
        <w:t xml:space="preserve"> </w:t>
      </w:r>
      <w:r>
        <w:t xml:space="preserve">Examining internal banking manuals for "Kyoto-specific" protocols, client contracts signed in</w:t>
      </w:r>
      <w:r>
        <w:t xml:space="preserve"> </w:t>
      </w:r>
      <w:r>
        <w:rPr>
          <w:iCs/>
          <w:i/>
        </w:rPr>
        <w:t xml:space="preserve">kakikae</w:t>
      </w:r>
      <w:r>
        <w:t xml:space="preserve"> </w:t>
      </w:r>
      <w:r>
        <w:t xml:space="preserve">(handwritten) script, and digital onboarding procedures adapted for elderly clients.</w:t>
      </w:r>
    </w:p>
    <w:p>
      <w:pPr>
        <w:pStyle w:val="FirstParagraph"/>
      </w:pPr>
      <w:r>
        <w:t xml:space="preserve">Data will be analyzed through grounded theory to identify emergent themes around trust-building in hyper-local contexts. Kyoto's UNESCO-listed districts provide natural control variables (e.g., comparing banking services in Arashiyama versus downtown Higashiyama).</w:t>
      </w:r>
    </w:p>
    <w:bookmarkEnd w:id="24"/>
    <w:bookmarkStart w:id="25" w:name="expected-outcomes-and-significance"/>
    <w:p>
      <w:pPr>
        <w:pStyle w:val="Heading2"/>
      </w:pPr>
      <w:r>
        <w:t xml:space="preserve">Expected Outcomes and Significance</w:t>
      </w:r>
    </w:p>
    <w:p>
      <w:pPr>
        <w:pStyle w:val="FirstParagraph"/>
      </w:pPr>
      <w:r>
        <w:t xml:space="preserve">This research anticipates three paradigm-shifting contributions:</w:t>
      </w:r>
    </w:p>
    <w:p>
      <w:pPr>
        <w:numPr>
          <w:ilvl w:val="0"/>
          <w:numId w:val="1003"/>
        </w:numPr>
        <w:pStyle w:val="Compact"/>
      </w:pPr>
      <w:r>
        <w:rPr>
          <w:bCs/>
          <w:b/>
        </w:rPr>
        <w:t xml:space="preserve">Cultural Banking Framework:</w:t>
      </w:r>
      <w:r>
        <w:t xml:space="preserve"> </w:t>
      </w:r>
      <w:r>
        <w:t xml:space="preserve">Development of a "Kyoto Model" for relationship banking, where the Banker's role evolves from transaction processor to community trust architect—evidenced by case studies of banks financing sustainable</w:t>
      </w:r>
      <w:r>
        <w:t xml:space="preserve"> </w:t>
      </w:r>
      <w:r>
        <w:rPr>
          <w:iCs/>
          <w:i/>
        </w:rPr>
        <w:t xml:space="preserve">chabudai</w:t>
      </w:r>
      <w:r>
        <w:t xml:space="preserve"> </w:t>
      </w:r>
      <w:r>
        <w:t xml:space="preserve">(tea house) restorations using</w:t>
      </w:r>
      <w:r>
        <w:t xml:space="preserve"> </w:t>
      </w:r>
      <w:r>
        <w:rPr>
          <w:iCs/>
          <w:i/>
        </w:rPr>
        <w:t xml:space="preserve">kakei</w:t>
      </w:r>
      <w:r>
        <w:t xml:space="preserve"> </w:t>
      </w:r>
      <w:r>
        <w:t xml:space="preserve">(interest-free) loans.</w:t>
      </w:r>
    </w:p>
    <w:p>
      <w:pPr>
        <w:numPr>
          <w:ilvl w:val="0"/>
          <w:numId w:val="1003"/>
        </w:numPr>
        <w:pStyle w:val="Compact"/>
      </w:pPr>
      <w:r>
        <w:rPr>
          <w:bCs/>
          <w:b/>
        </w:rPr>
        <w:t xml:space="preserve">Policy Recommendations:</w:t>
      </w:r>
      <w:r>
        <w:t xml:space="preserve"> </w:t>
      </w:r>
      <w:r>
        <w:t xml:space="preserve">Proposed guidelines for Japan's Financial Services Agency on "Heritage-Centric Finance" standards, enabling banks to structure products for Kyoto's 200+ surviving</w:t>
      </w:r>
      <w:r>
        <w:t xml:space="preserve"> </w:t>
      </w:r>
      <w:r>
        <w:rPr>
          <w:iCs/>
          <w:i/>
        </w:rPr>
        <w:t xml:space="preserve">wagashi</w:t>
      </w:r>
      <w:r>
        <w:t xml:space="preserve"> </w:t>
      </w:r>
      <w:r>
        <w:t xml:space="preserve">(traditional confectionery) producers.</w:t>
      </w:r>
    </w:p>
    <w:p>
      <w:pPr>
        <w:numPr>
          <w:ilvl w:val="0"/>
          <w:numId w:val="1003"/>
        </w:numPr>
        <w:pStyle w:val="Compact"/>
      </w:pPr>
      <w:r>
        <w:rPr>
          <w:bCs/>
          <w:b/>
        </w:rPr>
        <w:t xml:space="preserve">Global Relevance:</w:t>
      </w:r>
      <w:r>
        <w:t xml:space="preserve"> </w:t>
      </w:r>
      <w:r>
        <w:t xml:space="preserve">A blueprint for other historic cities (</w:t>
      </w:r>
      <w:r>
        <w:rPr>
          <w:iCs/>
          <w:i/>
        </w:rPr>
        <w:t xml:space="preserve">e.g., Lisbon, Kyoto</w:t>
      </w:r>
      <w:r>
        <w:t xml:space="preserve">) facing similar tensions between cultural preservation and financial modernization.</w:t>
      </w:r>
    </w:p>
    <w:p>
      <w:pPr>
        <w:pStyle w:val="FirstParagraph"/>
      </w:pPr>
      <w:r>
        <w:t xml:space="preserve">The significance extends beyond academia: As Kyoto faces declining population (down 12% since 2015), the Banker's strategic role in revitalizing community-led enterprises becomes critical. This thesis argues that a culturally attuned Banker isn't niche but essential for Japan Kyoto's economic resilience.</w:t>
      </w:r>
    </w:p>
    <w:bookmarkEnd w:id="25"/>
    <w:bookmarkStart w:id="26"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9-14</w:t>
      </w:r>
    </w:p>
    <w:p>
      <w:pPr>
        <w:pStyle w:val="BodyText"/>
      </w:pPr>
      <w:r>
        <w:t xml:space="preserve">Months 15-18</w:t>
      </w:r>
    </w:p>
    <w:p>
      <w:pPr>
        <w:pStyle w:val="BodyText"/>
      </w:pPr>
      <w:r>
        <w:rPr>
          <w:iCs/>
          <w:i/>
        </w:rPr>
        <w:t xml:space="preserve">Literature Review &amp; Protocol Design</w:t>
      </w:r>
    </w:p>
    <w:p>
      <w:pPr>
        <w:pStyle w:val="BodyText"/>
      </w:pPr>
      <w:r>
        <w:t xml:space="preserve">✓</w:t>
      </w:r>
    </w:p>
    <w:p>
      <w:pPr>
        <w:pStyle w:val="BodyText"/>
      </w:pPr>
      <w:r>
        <w:rPr>
          <w:iCs/>
          <w:i/>
        </w:rPr>
        <w:t xml:space="preserve">Data Collection (Fieldwork)</w:t>
      </w:r>
    </w:p>
    <w:p>
      <w:pPr>
        <w:pStyle w:val="BodyText"/>
      </w:pP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Japan Kyoto</dc:title>
  <dc:creator/>
  <dc:language>en</dc:language>
  <cp:keywords/>
  <dcterms:created xsi:type="dcterms:W3CDTF">2026-07-23T06:59:28Z</dcterms:created>
  <dcterms:modified xsi:type="dcterms:W3CDTF">2026-07-23T06:59:28Z</dcterms:modified>
</cp:coreProperties>
</file>

<file path=docProps/custom.xml><?xml version="1.0" encoding="utf-8"?>
<Properties xmlns="http://schemas.openxmlformats.org/officeDocument/2006/custom-properties" xmlns:vt="http://schemas.openxmlformats.org/officeDocument/2006/docPropsVTypes"/>
</file>