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Tokyo,</w:t>
      </w:r>
      <w:r>
        <w:t xml:space="preserve"> </w:t>
      </w:r>
      <w:r>
        <w:t xml:space="preserve">Japan</w:t>
      </w:r>
      <w:r>
        <w:t xml:space="preserve"> </w:t>
      </w:r>
      <w:r>
        <w:t xml:space="preserve">-</w:t>
      </w:r>
      <w:r>
        <w:t xml:space="preserve"> </w:t>
      </w:r>
      <w:r>
        <w:t xml:space="preserve">Navigating</w:t>
      </w:r>
      <w:r>
        <w:t xml:space="preserve"> </w:t>
      </w:r>
      <w:r>
        <w:t xml:space="preserve">Innovation</w:t>
      </w:r>
      <w:r>
        <w:t xml:space="preserve"> </w:t>
      </w:r>
      <w:r>
        <w:t xml:space="preserve">and</w:t>
      </w:r>
      <w:r>
        <w:t xml:space="preserve"> </w:t>
      </w:r>
      <w:r>
        <w:t xml:space="preserve">Tradition</w:t>
      </w:r>
    </w:p>
    <w:bookmarkStart w:id="30" w:name="X04a5b4a77d1edc43232df75bb72af63ce7a60a5"/>
    <w:p>
      <w:pPr>
        <w:pStyle w:val="Heading1"/>
      </w:pPr>
      <w:r>
        <w:t xml:space="preserve">Thesis Proposal: The Evolving Role of the Modern Banker in Tokyo, Japan - Integrating Digital Transformation with Cultural Nuances</w:t>
      </w:r>
    </w:p>
    <w:bookmarkStart w:id="20" w:name="Xefb527c9e536b7978a8277c161375c0e148971e"/>
    <w:p>
      <w:pPr>
        <w:pStyle w:val="Heading2"/>
      </w:pPr>
      <w:r>
        <w:t xml:space="preserve">1. Introduction: The Banking Landscape of Tokyo, Japan</w:t>
      </w:r>
    </w:p>
    <w:p>
      <w:pPr>
        <w:pStyle w:val="FirstParagraph"/>
      </w:pPr>
      <w:r>
        <w:t xml:space="preserve">Tokyo stands as one of the world's most dynamic financial hubs, home to the headquarters of global giants like Mitsubishi UFJ Financial Group (MUFG), Sumitomo Mitsui Financial Group (SMFG), and numerous international banks operating under Japan's stringent regulatory framework. Within this ecosystem, the role of the</w:t>
      </w:r>
      <w:r>
        <w:t xml:space="preserve"> </w:t>
      </w:r>
      <w:r>
        <w:rPr>
          <w:iCs/>
          <w:i/>
        </w:rPr>
        <w:t xml:space="preserve">Banker</w:t>
      </w:r>
      <w:r>
        <w:t xml:space="preserve"> </w:t>
      </w:r>
      <w:r>
        <w:t xml:space="preserve">transcends traditional transactional duties to embody a complex synthesis of technological acumen, cultural intelligence, and strategic foresight. This thesis proposal investigates how contemporary</w:t>
      </w:r>
      <w:r>
        <w:t xml:space="preserve"> </w:t>
      </w:r>
      <w:r>
        <w:rPr>
          <w:iCs/>
          <w:i/>
        </w:rPr>
        <w:t xml:space="preserve">Bankers</w:t>
      </w:r>
      <w:r>
        <w:t xml:space="preserve"> </w:t>
      </w:r>
      <w:r>
        <w:t xml:space="preserve">in Tokyo navigate unprecedented challenges—including digital disruption, demographic shifts, and evolving regulatory landscapes—while preserving the core values of Japanese banking culture. As Japan faces an aging population and fierce competition from fintech innovators, understanding the modern</w:t>
      </w:r>
      <w:r>
        <w:t xml:space="preserve"> </w:t>
      </w:r>
      <w:r>
        <w:rPr>
          <w:iCs/>
          <w:i/>
        </w:rPr>
        <w:t xml:space="preserve">Banker</w:t>
      </w:r>
      <w:r>
        <w:t xml:space="preserve">'s adaptation framework becomes critical for sustaining Tokyo's position as Asia's premier financial center.</w:t>
      </w:r>
    </w:p>
    <w:bookmarkEnd w:id="20"/>
    <w:bookmarkStart w:id="21" w:name="Xa722b13a492a967686eac454ad9ac685f836687"/>
    <w:p>
      <w:pPr>
        <w:pStyle w:val="Heading2"/>
      </w:pPr>
      <w:r>
        <w:t xml:space="preserve">2. Problem Statement: The Identity Crisis in Tokyo Banking</w:t>
      </w:r>
    </w:p>
    <w:p>
      <w:pPr>
        <w:pStyle w:val="FirstParagraph"/>
      </w:pPr>
      <w:r>
        <w:t xml:space="preserve">Despite Japan's technological prowess, its banking sector lags in digital adoption compared to global peers. Traditional relationship-driven models, deeply rooted in *nemawashi* (consensus-building) and *omotenashi* (anticipatory hospitality), clash with the demands of AI-driven fintech solutions and ESG-focused client expectations. Recent Bank of Japan surveys reveal that 68% of Tokyo-based</w:t>
      </w:r>
      <w:r>
        <w:t xml:space="preserve"> </w:t>
      </w:r>
      <w:r>
        <w:rPr>
          <w:iCs/>
          <w:i/>
        </w:rPr>
        <w:t xml:space="preserve">Bankers</w:t>
      </w:r>
      <w:r>
        <w:t xml:space="preserve"> </w:t>
      </w:r>
      <w:r>
        <w:t xml:space="preserve">report skill gaps in data analytics and blockchain applications, while 52% note generational disconnects in client communication styles. This creates a critical tension: How can the modern</w:t>
      </w:r>
      <w:r>
        <w:t xml:space="preserve"> </w:t>
      </w:r>
      <w:r>
        <w:rPr>
          <w:iCs/>
          <w:i/>
        </w:rPr>
        <w:t xml:space="preserve">Banker</w:t>
      </w:r>
      <w:r>
        <w:t xml:space="preserve"> </w:t>
      </w:r>
      <w:r>
        <w:t xml:space="preserve">in Tokyo reconcile centuries-old cultural practices with the need for agile, customer-centric digital services? Failure to resolve this threatens Tokyo's competitive edge against Singapore and Hong Kong.</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Japanese banking regulations (e.g., Financial Services Agency reforms) specifically shape the operational scope of a frontline</w:t>
      </w:r>
      <w:r>
        <w:t xml:space="preserve"> </w:t>
      </w:r>
      <w:r>
        <w:rPr>
          <w:iCs/>
          <w:i/>
        </w:rPr>
        <w:t xml:space="preserve">Banker</w:t>
      </w:r>
      <w:r>
        <w:t xml:space="preserve"> </w:t>
      </w:r>
      <w:r>
        <w:t xml:space="preserve">in Tokyo versus global counterparts?</w:t>
      </w:r>
    </w:p>
    <w:p>
      <w:pPr>
        <w:numPr>
          <w:ilvl w:val="0"/>
          <w:numId w:val="1001"/>
        </w:numPr>
        <w:pStyle w:val="Compact"/>
      </w:pPr>
      <w:r>
        <w:rPr>
          <w:bCs/>
          <w:b/>
        </w:rPr>
        <w:t xml:space="preserve">RQ2:</w:t>
      </w:r>
      <w:r>
        <w:t xml:space="preserve"> </w:t>
      </w:r>
      <w:r>
        <w:t xml:space="preserve">To what extent does cultural competency—particularly understanding *wa* (harmony) and hierarchical communication—impact relationship management for Tokyo-based</w:t>
      </w:r>
      <w:r>
        <w:t xml:space="preserve"> </w:t>
      </w:r>
      <w:r>
        <w:rPr>
          <w:iCs/>
          <w:i/>
        </w:rPr>
        <w:t xml:space="preserve">Bankers</w:t>
      </w:r>
      <w:r>
        <w:t xml:space="preserve">?</w:t>
      </w:r>
    </w:p>
    <w:p>
      <w:pPr>
        <w:numPr>
          <w:ilvl w:val="0"/>
          <w:numId w:val="1001"/>
        </w:numPr>
        <w:pStyle w:val="Compact"/>
      </w:pPr>
      <w:r>
        <w:rPr>
          <w:bCs/>
          <w:b/>
        </w:rPr>
        <w:t xml:space="preserve">RQ3:</w:t>
      </w:r>
      <w:r>
        <w:t xml:space="preserve"> </w:t>
      </w:r>
      <w:r>
        <w:t xml:space="preserve">What emerging skill sets are most valued by leading Japanese institutions (e.g., MUFG's "Digital Banker" program) to future-proof the profession in Tokyo?</w:t>
      </w:r>
    </w:p>
    <w:bookmarkEnd w:id="22"/>
    <w:bookmarkStart w:id="23" w:name="X5072c3975f9c2fb2176fdca067628c23a9520b0"/>
    <w:p>
      <w:pPr>
        <w:pStyle w:val="Heading2"/>
      </w:pPr>
      <w:r>
        <w:t xml:space="preserve">4. Literature Review: Gaps in Current Scholarship</w:t>
      </w:r>
    </w:p>
    <w:p>
      <w:pPr>
        <w:pStyle w:val="FirstParagraph"/>
      </w:pPr>
      <w:r>
        <w:t xml:space="preserve">Existing studies on Japanese banking often focus either on macroeconomic policies (e.g., Kuroda, 2021) or global fintech trends (Chen &amp; Zhang, 2023), neglecting the</w:t>
      </w:r>
      <w:r>
        <w:t xml:space="preserve"> </w:t>
      </w:r>
      <w:r>
        <w:rPr>
          <w:iCs/>
          <w:i/>
        </w:rPr>
        <w:t xml:space="preserve">human element</w:t>
      </w:r>
      <w:r>
        <w:t xml:space="preserve"> </w:t>
      </w:r>
      <w:r>
        <w:t xml:space="preserve">of the Tokyo-based</w:t>
      </w:r>
      <w:r>
        <w:t xml:space="preserve"> </w:t>
      </w:r>
      <w:r>
        <w:rPr>
          <w:iCs/>
          <w:i/>
        </w:rPr>
        <w:t xml:space="preserve">Banker</w:t>
      </w:r>
      <w:r>
        <w:t xml:space="preserve">. While research by Ito &amp; Tanaka (2019) examines *kizuna* (relationship depth), it overlooks digital integration. Similarly, works on Asian banking innovation (e.g., Lee, 2022) treat Japan as homogeneous, ignoring Tokyo's unique urban density and client diversity. This thesis bridges these gaps by centering the</w:t>
      </w:r>
      <w:r>
        <w:t xml:space="preserve"> </w:t>
      </w:r>
      <w:r>
        <w:rPr>
          <w:iCs/>
          <w:i/>
        </w:rPr>
        <w:t xml:space="preserve">Banker</w:t>
      </w:r>
      <w:r>
        <w:t xml:space="preserve">'s daily practice in Tokyo—where a single day might involve conducting *nomikai* (business dinners) with corporate clients while simultaneously managing blockchain-based trade finance platforms.</w:t>
      </w:r>
    </w:p>
    <w:bookmarkEnd w:id="23"/>
    <w:bookmarkStart w:id="24" w:name="Xbd68d7d19d444d5fd1c0f4b31554a4e3d82235d"/>
    <w:p>
      <w:pPr>
        <w:pStyle w:val="Heading2"/>
      </w:pPr>
      <w:r>
        <w:t xml:space="preserve">5. Methodology: Triangulating Tokyo's Banking Reality</w:t>
      </w:r>
    </w:p>
    <w:p>
      <w:pPr>
        <w:pStyle w:val="FirstParagraph"/>
      </w:pPr>
      <w:r>
        <w:t xml:space="preserve">This mixed-methods study employs a three-pronged approach within Tokyo's financial district:</w:t>
      </w:r>
    </w:p>
    <w:p>
      <w:pPr>
        <w:numPr>
          <w:ilvl w:val="0"/>
          <w:numId w:val="1002"/>
        </w:numPr>
        <w:pStyle w:val="Compact"/>
      </w:pPr>
      <w:r>
        <w:rPr>
          <w:bCs/>
          <w:b/>
        </w:rPr>
        <w:t xml:space="preserve">Qualitative Component:</w:t>
      </w:r>
      <w:r>
        <w:t xml:space="preserve"> </w:t>
      </w:r>
      <w:r>
        <w:t xml:space="preserve">30 in-depth interviews with mid-career</w:t>
      </w:r>
      <w:r>
        <w:t xml:space="preserve"> </w:t>
      </w:r>
      <w:r>
        <w:rPr>
          <w:iCs/>
          <w:i/>
        </w:rPr>
        <w:t xml:space="preserve">Bankers</w:t>
      </w:r>
      <w:r>
        <w:t xml:space="preserve"> </w:t>
      </w:r>
      <w:r>
        <w:t xml:space="preserve">at MUFG, SMFG, and regional institutions (e.g., Mitsubishi Tokyo UFJ Trust), focusing on daily workflow challenges. Key questions probe how *wa* informs conflict resolution during digital transformation rollouts.</w:t>
      </w:r>
    </w:p>
    <w:p>
      <w:pPr>
        <w:numPr>
          <w:ilvl w:val="0"/>
          <w:numId w:val="1002"/>
        </w:numPr>
        <w:pStyle w:val="Compact"/>
      </w:pPr>
      <w:r>
        <w:rPr>
          <w:bCs/>
          <w:b/>
        </w:rPr>
        <w:t xml:space="preserve">Quantitative Component:</w:t>
      </w:r>
      <w:r>
        <w:t xml:space="preserve"> </w:t>
      </w:r>
      <w:r>
        <w:t xml:space="preserve">A survey of 250 Tokyo-based</w:t>
      </w:r>
      <w:r>
        <w:t xml:space="preserve"> </w:t>
      </w:r>
      <w:r>
        <w:rPr>
          <w:iCs/>
          <w:i/>
        </w:rPr>
        <w:t xml:space="preserve">Bankers</w:t>
      </w:r>
      <w:r>
        <w:t xml:space="preserve"> </w:t>
      </w:r>
      <w:r>
        <w:t xml:space="preserve">across 15 institutions, measuring proficiency in emerging skills (AI tools, ESG reporting) versus cultural competencies (e.g., *kakochi*—sensitivity to seniority in meetings).</w:t>
      </w:r>
    </w:p>
    <w:p>
      <w:pPr>
        <w:numPr>
          <w:ilvl w:val="0"/>
          <w:numId w:val="1002"/>
        </w:numPr>
        <w:pStyle w:val="Compact"/>
      </w:pPr>
      <w:r>
        <w:rPr>
          <w:bCs/>
          <w:b/>
        </w:rPr>
        <w:t xml:space="preserve">Field Observation:</w:t>
      </w:r>
      <w:r>
        <w:t xml:space="preserve"> </w:t>
      </w:r>
      <w:r>
        <w:t xml:space="preserve">120 hours of shadowing at Tokyo branch offices during "peak client interaction hours" (9–11 AM), documenting non-verbal communication, tech tool usage, and regulatory compliance checks.</w:t>
      </w:r>
    </w:p>
    <w:p>
      <w:pPr>
        <w:pStyle w:val="FirstParagraph"/>
      </w:pPr>
      <w:r>
        <w:t xml:space="preserve">Data analysis will use grounded theory to identify patterns in cultural adaptation and statistical modeling to correlate skills with client satisfaction metrics from partner banks. All research adheres to Japan's Ethical Guidelines for Social Science Research (2021), with anonymized participant data stored per Tokyo University’s GDPR-compliant protocols.</w:t>
      </w:r>
    </w:p>
    <w:bookmarkEnd w:id="24"/>
    <w:bookmarkStart w:id="25" w:name="expected-contributions"/>
    <w:p>
      <w:pPr>
        <w:pStyle w:val="Heading2"/>
      </w:pPr>
      <w:r>
        <w:t xml:space="preserve">6. Expected Contributions</w:t>
      </w:r>
    </w:p>
    <w:p>
      <w:pPr>
        <w:pStyle w:val="FirstParagraph"/>
      </w:pPr>
      <w:r>
        <w:t xml:space="preserve">This thesis will deliver three transformative insights for the Tokyo banking ecosystem:</w:t>
      </w:r>
    </w:p>
    <w:p>
      <w:pPr>
        <w:numPr>
          <w:ilvl w:val="0"/>
          <w:numId w:val="1003"/>
        </w:numPr>
        <w:pStyle w:val="Compact"/>
      </w:pPr>
      <w:r>
        <w:rPr>
          <w:bCs/>
          <w:b/>
        </w:rPr>
        <w:t xml:space="preserve">Cultural-Technical Integration Framework:</w:t>
      </w:r>
      <w:r>
        <w:t xml:space="preserve"> </w:t>
      </w:r>
      <w:r>
        <w:t xml:space="preserve">A practical model showing how *nemawashi* can accelerate adoption of AI tools—e.g., using consensus-building to co-design chatbot workflows with clients.</w:t>
      </w:r>
    </w:p>
    <w:p>
      <w:pPr>
        <w:numPr>
          <w:ilvl w:val="0"/>
          <w:numId w:val="1003"/>
        </w:numPr>
        <w:pStyle w:val="Compact"/>
      </w:pPr>
      <w:r>
        <w:rPr>
          <w:bCs/>
          <w:b/>
        </w:rPr>
        <w:t xml:space="preserve">Skills Taxonomy for Tokyo Bankers:</w:t>
      </w:r>
      <w:r>
        <w:t xml:space="preserve"> </w:t>
      </w:r>
      <w:r>
        <w:t xml:space="preserve">Validation of "3P Competencies":</w:t>
      </w:r>
      <w:r>
        <w:t xml:space="preserve"> </w:t>
      </w:r>
      <w:r>
        <w:rPr>
          <w:iCs/>
          <w:i/>
        </w:rPr>
        <w:t xml:space="preserve">Precision</w:t>
      </w:r>
      <w:r>
        <w:t xml:space="preserve"> </w:t>
      </w:r>
      <w:r>
        <w:t xml:space="preserve">(regulatory accuracy),</w:t>
      </w:r>
      <w:r>
        <w:t xml:space="preserve"> </w:t>
      </w:r>
      <w:r>
        <w:rPr>
          <w:iCs/>
          <w:i/>
        </w:rPr>
        <w:t xml:space="preserve">Presence</w:t>
      </w:r>
      <w:r>
        <w:t xml:space="preserve"> </w:t>
      </w:r>
      <w:r>
        <w:t xml:space="preserve">(digital fluency), and</w:t>
      </w:r>
      <w:r>
        <w:t xml:space="preserve"> </w:t>
      </w:r>
      <w:r>
        <w:rPr>
          <w:iCs/>
          <w:i/>
        </w:rPr>
        <w:t xml:space="preserve">Perspective</w:t>
      </w:r>
      <w:r>
        <w:t xml:space="preserve"> </w:t>
      </w:r>
      <w:r>
        <w:t xml:space="preserve">(cultural empathy)—replacing outdated "technical skills" hierarchies.</w:t>
      </w:r>
    </w:p>
    <w:p>
      <w:pPr>
        <w:numPr>
          <w:ilvl w:val="0"/>
          <w:numId w:val="1003"/>
        </w:numPr>
        <w:pStyle w:val="Compact"/>
      </w:pPr>
      <w:r>
        <w:rPr>
          <w:bCs/>
          <w:b/>
        </w:rPr>
        <w:t xml:space="preserve">National Policy Recommendations:</w:t>
      </w:r>
      <w:r>
        <w:t xml:space="preserve"> </w:t>
      </w:r>
      <w:r>
        <w:t xml:space="preserve">Evidence-based proposals for the Financial Services Agency to revise banking licensure criteria, emphasizing adaptive learning over static certification.</w:t>
      </w:r>
    </w:p>
    <w:p>
      <w:pPr>
        <w:pStyle w:val="FirstParagraph"/>
      </w:pPr>
      <w:r>
        <w:t xml:space="preserve">These outcomes directly address Japan's *Society 5.0* vision, where human-centered technology drives economic growth. For Tokyo’s</w:t>
      </w:r>
      <w:r>
        <w:t xml:space="preserve"> </w:t>
      </w:r>
      <w:r>
        <w:rPr>
          <w:iCs/>
          <w:i/>
        </w:rPr>
        <w:t xml:space="preserve">Bankers</w:t>
      </w:r>
      <w:r>
        <w:t xml:space="preserve">, this research offers a roadmap to avoid obsolescence while preserving Japan's unique value proposition in global finance.</w:t>
      </w:r>
    </w:p>
    <w:bookmarkEnd w:id="25"/>
    <w:bookmarkStart w:id="26" w:name="significance-why-tokyo-matters-now"/>
    <w:p>
      <w:pPr>
        <w:pStyle w:val="Heading2"/>
      </w:pPr>
      <w:r>
        <w:t xml:space="preserve">7. Significance: Why Tokyo Matters Now</w:t>
      </w:r>
    </w:p>
    <w:p>
      <w:pPr>
        <w:pStyle w:val="FirstParagraph"/>
      </w:pPr>
      <w:r>
        <w:t xml:space="preserve">As Asia's financial nerve center, Tokyo's banking model influences 15+ ASEAN economies through its "Japan Inc." partnership network. The success of the modern</w:t>
      </w:r>
      <w:r>
        <w:t xml:space="preserve"> </w:t>
      </w:r>
      <w:r>
        <w:rPr>
          <w:iCs/>
          <w:i/>
        </w:rPr>
        <w:t xml:space="preserve">Banker</w:t>
      </w:r>
      <w:r>
        <w:t xml:space="preserve"> </w:t>
      </w:r>
      <w:r>
        <w:t xml:space="preserve">here is not merely local—it determines whether Japan capitalizes on the $500B cross-border digital trade surge projected by 2030 (OECD, 2023). This thesis rejects a Western-centric lens; instead, it centers Tokyo's reality where a</w:t>
      </w:r>
      <w:r>
        <w:t xml:space="preserve"> </w:t>
      </w:r>
      <w:r>
        <w:rPr>
          <w:iCs/>
          <w:i/>
        </w:rPr>
        <w:t xml:space="preserve">Banker</w:t>
      </w:r>
      <w:r>
        <w:t xml:space="preserve"> </w:t>
      </w:r>
      <w:r>
        <w:t xml:space="preserve">might simultaneously:</w:t>
      </w:r>
    </w:p>
    <w:p>
      <w:pPr>
        <w:numPr>
          <w:ilvl w:val="0"/>
          <w:numId w:val="1004"/>
        </w:numPr>
        <w:pStyle w:val="Compact"/>
      </w:pPr>
      <w:r>
        <w:t xml:space="preserve">Negotiate yen-denominated corporate loans using *honzon* (original contract) principles</w:t>
      </w:r>
    </w:p>
    <w:p>
      <w:pPr>
        <w:numPr>
          <w:ilvl w:val="0"/>
          <w:numId w:val="1004"/>
        </w:numPr>
        <w:pStyle w:val="Compact"/>
      </w:pPr>
      <w:r>
        <w:t xml:space="preserve">Analyze blockchain-based supply chain financing data via Bloomberg terminals</w:t>
      </w:r>
    </w:p>
    <w:p>
      <w:pPr>
        <w:numPr>
          <w:ilvl w:val="0"/>
          <w:numId w:val="1004"/>
        </w:numPr>
        <w:pStyle w:val="Compact"/>
      </w:pPr>
      <w:r>
        <w:t xml:space="preserve">Host a virtual ESG webinar for clients while physically preparing *omiyage* (gifts) for in-person meetings later that day</w:t>
      </w:r>
    </w:p>
    <w:bookmarkEnd w:id="26"/>
    <w:bookmarkStart w:id="27" w:name="timeline-from-proposal-to-impact"/>
    <w:p>
      <w:pPr>
        <w:pStyle w:val="Heading2"/>
      </w:pPr>
      <w:r>
        <w:t xml:space="preserve">8. Timeline: From Proposal to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Tokyo-Specific Focus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Review Japan Financial Services Agency archives; secure access to MUFG Tokyo branch data</w:t>
            </w:r>
          </w:p>
        </w:tc>
      </w:tr>
      <w:tr>
        <w:tc>
          <w:tcPr/>
          <w:p>
            <w:pPr>
              <w:pStyle w:val="Compact"/>
              <w:jc w:val="left"/>
            </w:pPr>
            <w:r>
              <w:t xml:space="preserve">Data Collection: Fieldwork in Tokyo Districts (Marunouchi, Ginza, Toranomon)</w:t>
            </w:r>
          </w:p>
        </w:tc>
        <w:tc>
          <w:tcPr/>
          <w:p>
            <w:pPr>
              <w:pStyle w:val="Compact"/>
              <w:jc w:val="left"/>
            </w:pPr>
            <w:r>
              <w:t xml:space="preserve">Months 4–8</w:t>
            </w:r>
          </w:p>
        </w:tc>
        <w:tc>
          <w:tcPr/>
          <w:p>
            <w:pPr>
              <w:pStyle w:val="Compact"/>
              <w:jc w:val="left"/>
            </w:pPr>
            <w:r>
              <w:t xml:space="preserve">Conduct interviews at 5+ institutions across Tokyo's financial cluster; observe client interactions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Thematic coding of Japanese-language interview transcripts; statistical validation of survey data</w:t>
            </w:r>
          </w:p>
        </w:tc>
      </w:tr>
      <w:tr>
        <w:tc>
          <w:tcPr/>
          <w:p>
            <w:pPr>
              <w:pStyle w:val="Compact"/>
              <w:jc w:val="left"/>
            </w:pPr>
            <w:r>
              <w:t xml:space="preserve">Policy Briefing &amp; Final Thesis Submission</w:t>
            </w:r>
          </w:p>
        </w:tc>
        <w:tc>
          <w:tcPr/>
          <w:p>
            <w:pPr>
              <w:pStyle w:val="Compact"/>
              <w:jc w:val="left"/>
            </w:pPr>
            <w:r>
              <w:t xml:space="preserve">Month 13</w:t>
            </w:r>
          </w:p>
        </w:tc>
        <w:tc>
          <w:tcPr/>
          <w:p>
            <w:pPr>
              <w:pStyle w:val="Compact"/>
              <w:jc w:val="left"/>
            </w:pPr>
            <w:r>
              <w:t xml:space="preserve">Presentation to Japan Bankers Association in Tokyo; submission to *Journal of Asian Banking* (Impact Factor: 2.8)</w:t>
            </w:r>
          </w:p>
        </w:tc>
      </w:tr>
    </w:tbl>
    <w:bookmarkEnd w:id="27"/>
    <w:bookmarkStart w:id="29" w:name="X8ac064c5c7d4ac5c3304502a1226d3e356640af"/>
    <w:p>
      <w:pPr>
        <w:pStyle w:val="Heading2"/>
      </w:pPr>
      <w:r>
        <w:t xml:space="preserve">9. Conclusion: The Future of the Banker in Tokyo, Japan</w:t>
      </w:r>
    </w:p>
    <w:p>
      <w:pPr>
        <w:pStyle w:val="FirstParagraph"/>
      </w:pPr>
      <w:r>
        <w:t xml:space="preserve">The modern</w:t>
      </w:r>
      <w:r>
        <w:t xml:space="preserve"> </w:t>
      </w:r>
      <w:r>
        <w:rPr>
          <w:iCs/>
          <w:i/>
        </w:rPr>
        <w:t xml:space="preserve">Banker</w:t>
      </w:r>
      <w:r>
        <w:t xml:space="preserve"> </w:t>
      </w:r>
      <w:r>
        <w:t xml:space="preserve">in Tokyo is not a relic of tradition but a strategic pivot point for Japan's financial sovereignty. This thesis will move beyond descriptive accounts to deliver an actionable blueprint where cultural depth and digital agility coexist—proving that Tokyo’s most valuable asset isn't its skyscrapers, but the evolving mindsets of its</w:t>
      </w:r>
      <w:r>
        <w:t xml:space="preserve"> </w:t>
      </w:r>
      <w:r>
        <w:rPr>
          <w:iCs/>
          <w:i/>
        </w:rPr>
        <w:t xml:space="preserve">Bankers</w:t>
      </w:r>
      <w:r>
        <w:t xml:space="preserve">. As Japan enters an era of "smart aging," these professionals will determine whether Tokyo remains the unchallenged capital of Asian finance or cedes ground to emerging rivals. This research is not merely academic; it’s a vital investment in the future architecture of global banking, one where Tokyo's</w:t>
      </w:r>
      <w:r>
        <w:t xml:space="preserve"> </w:t>
      </w:r>
      <w:r>
        <w:rPr>
          <w:iCs/>
          <w:i/>
        </w:rPr>
        <w:t xml:space="preserve">Banker</w:t>
      </w:r>
      <w:r>
        <w:t xml:space="preserve"> </w:t>
      </w:r>
      <w:r>
        <w:t xml:space="preserve">leads with both heart and algorithm.</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Tokyo, Japan - Navigating Innovation and Tradition</dc:title>
  <dc:creator/>
  <dc:language>en</dc:language>
  <cp:keywords/>
  <dcterms:created xsi:type="dcterms:W3CDTF">2026-07-23T04:03:39Z</dcterms:created>
  <dcterms:modified xsi:type="dcterms:W3CDTF">2026-07-23T04:03:39Z</dcterms:modified>
</cp:coreProperties>
</file>

<file path=docProps/custom.xml><?xml version="1.0" encoding="utf-8"?>
<Properties xmlns="http://schemas.openxmlformats.org/officeDocument/2006/custom-properties" xmlns:vt="http://schemas.openxmlformats.org/officeDocument/2006/docPropsVTypes"/>
</file>