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Kazakhstan</w:t>
      </w:r>
      <w:r>
        <w:t xml:space="preserve"> </w:t>
      </w:r>
      <w:r>
        <w:t xml:space="preserve">Almaty</w:t>
      </w:r>
    </w:p>
    <w:bookmarkStart w:id="29" w:name="X2498569e6c98977062f70afa5b604379ab4eb24"/>
    <w:p>
      <w:pPr>
        <w:pStyle w:val="Heading1"/>
      </w:pPr>
      <w:r>
        <w:t xml:space="preserve">Thesis Proposal: The Evolving Role of the Modern Banker in Kazakhstan Almaty</w:t>
      </w:r>
    </w:p>
    <w:bookmarkStart w:id="20" w:name="introduction"/>
    <w:p>
      <w:pPr>
        <w:pStyle w:val="Heading2"/>
      </w:pPr>
      <w:r>
        <w:t xml:space="preserve">Introduction</w:t>
      </w:r>
    </w:p>
    <w:p>
      <w:pPr>
        <w:pStyle w:val="FirstParagraph"/>
      </w:pPr>
      <w:r>
        <w:t xml:space="preserve">The financial landscape of Kazakhstan has undergone transformative changes since the nation's independence, with Almaty emerging as the undisputed economic and banking capital. As Central Asia's premier financial hub, Almaty hosts over 50 commercial banks, including international institutions like HSBC and Citibank, alongside domestic giants such as Kazkommertsbank and JSC Alliance Bank. This dynamic environment necessitates a critical examination of the</w:t>
      </w:r>
      <w:r>
        <w:t xml:space="preserve"> </w:t>
      </w:r>
      <w:r>
        <w:rPr>
          <w:iCs/>
          <w:i/>
        </w:rPr>
        <w:t xml:space="preserve">Banker</w:t>
      </w:r>
      <w:r>
        <w:t xml:space="preserve"> </w:t>
      </w:r>
      <w:r>
        <w:t xml:space="preserve">profession within Kazakhstan's unique socio-economic context. The present Thesis Proposal outlines a research framework to investigate how contemporary banking professionals navigate regulatory shifts, technological disruptions, and market volatility in Almaty. This study directly addresses gaps in existing literature that largely focus on macroeconomic policies while neglecting the human element—the</w:t>
      </w:r>
      <w:r>
        <w:t xml:space="preserve"> </w:t>
      </w:r>
      <w:r>
        <w:rPr>
          <w:iCs/>
          <w:i/>
        </w:rPr>
        <w:t xml:space="preserve">Banker</w:t>
      </w:r>
      <w:r>
        <w:t xml:space="preserve">'s evolving role—in Kazakhstan's financial ecosystem.</w:t>
      </w:r>
    </w:p>
    <w:bookmarkEnd w:id="20"/>
    <w:bookmarkStart w:id="21" w:name="problem-statement"/>
    <w:p>
      <w:pPr>
        <w:pStyle w:val="Heading2"/>
      </w:pPr>
      <w:r>
        <w:t xml:space="preserve">Problem Statement</w:t>
      </w:r>
    </w:p>
    <w:p>
      <w:pPr>
        <w:pStyle w:val="FirstParagraph"/>
      </w:pPr>
      <w:r>
        <w:t xml:space="preserve">Kazakhstan's banking sector faces unprecedented challenges: the National Bank of Kazakhstan (NBK) has implemented stringent capital adequacy requirements under Basel III, while fintech disruption and geopolitical tensions following Russia's 2022 invasion of Ukraine have intensified market uncertainty. In Almaty specifically, bankers grapple with balancing traditional client relationships against digital transformation demands, navigating complex KYC/AML regulations amid rising fraud cases (NBK reported a 37% surge in cybercrime targeting banks in 2023), and serving a growing SME sector that constitutes 48% of the national economy but remains underserved. Current academic research predominantly analyzes Kazakhstan's banking system through policy lenses rather than examining frontline</w:t>
      </w:r>
      <w:r>
        <w:t xml:space="preserve"> </w:t>
      </w:r>
      <w:r>
        <w:rPr>
          <w:iCs/>
          <w:i/>
        </w:rPr>
        <w:t xml:space="preserve">Banker</w:t>
      </w:r>
      <w:r>
        <w:t xml:space="preserve"> </w:t>
      </w:r>
      <w:r>
        <w:t xml:space="preserve">experiences. Without understanding these professionals' daily challenges, regulatory reforms may fail to address on-ground realities in Kazakhstan Almaty.</w:t>
      </w:r>
    </w:p>
    <w:bookmarkEnd w:id="21"/>
    <w:bookmarkStart w:id="22" w:name="research-objectives"/>
    <w:p>
      <w:pPr>
        <w:pStyle w:val="Heading2"/>
      </w:pPr>
      <w:r>
        <w:t xml:space="preserve">Research Objectives</w:t>
      </w:r>
    </w:p>
    <w:p>
      <w:pPr>
        <w:pStyle w:val="FirstParagraph"/>
      </w:pPr>
      <w:r>
        <w:t xml:space="preserve">This Thesis Proposal aims to achieve four core objectives:</w:t>
      </w:r>
    </w:p>
    <w:p>
      <w:pPr>
        <w:numPr>
          <w:ilvl w:val="0"/>
          <w:numId w:val="1001"/>
        </w:numPr>
        <w:pStyle w:val="Compact"/>
      </w:pPr>
      <w:r>
        <w:t xml:space="preserve">To map the evolving skillsets required of a modern banker in Kazakhstan Almaty, with emphasis on digital literacy, cross-cultural communication, and regulatory compliance.</w:t>
      </w:r>
    </w:p>
    <w:p>
      <w:pPr>
        <w:numPr>
          <w:ilvl w:val="0"/>
          <w:numId w:val="1001"/>
        </w:numPr>
        <w:pStyle w:val="Compact"/>
      </w:pPr>
      <w:r>
        <w:t xml:space="preserve">To analyze how geopolitical events (e.g., sanctions on Russian financial institutions) impact client relationships and risk management strategies within Almaty-based banking operations.</w:t>
      </w:r>
    </w:p>
    <w:p>
      <w:pPr>
        <w:numPr>
          <w:ilvl w:val="0"/>
          <w:numId w:val="1001"/>
        </w:numPr>
        <w:pStyle w:val="Compact"/>
      </w:pPr>
      <w:r>
        <w:t xml:space="preserve">To evaluate the effectiveness of current banking training programs in preparing professionals for Kazakhstan's specific market conditions.</w:t>
      </w:r>
    </w:p>
    <w:p>
      <w:pPr>
        <w:numPr>
          <w:ilvl w:val="0"/>
          <w:numId w:val="1001"/>
        </w:numPr>
        <w:pStyle w:val="Compact"/>
      </w:pPr>
      <w:r>
        <w:t xml:space="preserve">To propose a framework for developing future-ready bankers that aligns with Kazakhstan's national financial strategy, "Kazakhstan 2050."</w:t>
      </w:r>
    </w:p>
    <w:bookmarkEnd w:id="22"/>
    <w:bookmarkStart w:id="23" w:name="literature-review"/>
    <w:p>
      <w:pPr>
        <w:pStyle w:val="Heading2"/>
      </w:pPr>
      <w:r>
        <w:t xml:space="preserve">Literature Review</w:t>
      </w:r>
    </w:p>
    <w:p>
      <w:pPr>
        <w:pStyle w:val="FirstParagraph"/>
      </w:pPr>
      <w:r>
        <w:t xml:space="preserve">Existing studies on Central Asian banking (e.g., World Bank, 2021; ADB, 2023) highlight Kazakhstan's progress in financial inclusion but overlook the professional development of bankers. Research by Tulegenova (2020) discusses regulatory compliance challenges in Almaty but neglects frontline perspectives. Meanwhile, Western banking literature (e.g., McKinsey, 2023) emphasizes digital transformation without contextualizing post-Soviet market dynamics. This gap is critical: Kazakhstan's banker operates in a hybrid environment where Soviet-era relationship-based banking collides with global fintech standards—a tension absent from most comparative studies. The present thesis directly addresses this void by centering the</w:t>
      </w:r>
      <w:r>
        <w:t xml:space="preserve"> </w:t>
      </w:r>
      <w:r>
        <w:rPr>
          <w:iCs/>
          <w:i/>
        </w:rPr>
        <w:t xml:space="preserve">Banker</w:t>
      </w:r>
      <w:r>
        <w:t xml:space="preserve">'s lived experience in Kazakhstan Almaty.</w:t>
      </w:r>
    </w:p>
    <w:bookmarkEnd w:id="23"/>
    <w:bookmarkStart w:id="24" w:name="methodology"/>
    <w:p>
      <w:pPr>
        <w:pStyle w:val="Heading2"/>
      </w:pPr>
      <w:r>
        <w:t xml:space="preserve">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Qualitative Component:</w:t>
      </w:r>
      <w:r>
        <w:t xml:space="preserve"> </w:t>
      </w:r>
      <w:r>
        <w:t xml:space="preserve">Semi-structured interviews with 30+ bankers (including branch managers, relationship officers, and compliance specialists) across 10 Almaty-based institutions (e.g., Halyk Bank, BTA Bank). Sampling will prioritize gender diversity and tenure to capture generational shifts in the profession.</w:t>
      </w:r>
    </w:p>
    <w:p>
      <w:pPr>
        <w:numPr>
          <w:ilvl w:val="0"/>
          <w:numId w:val="1002"/>
        </w:numPr>
        <w:pStyle w:val="Compact"/>
      </w:pPr>
      <w:r>
        <w:rPr>
          <w:bCs/>
          <w:b/>
        </w:rPr>
        <w:t xml:space="preserve">Quantitative Component:</w:t>
      </w:r>
      <w:r>
        <w:t xml:space="preserve"> </w:t>
      </w:r>
      <w:r>
        <w:t xml:space="preserve">Online survey distributed to 200+ bankers in Kazakhstan Almaty assessing skills gaps (using a 5-point Likert scale), technology adoption rates, and perceived regulatory burdens. Data will be cross-analyzed with NBK's quarterly financial health reports.</w:t>
      </w:r>
    </w:p>
    <w:p>
      <w:pPr>
        <w:numPr>
          <w:ilvl w:val="0"/>
          <w:numId w:val="1002"/>
        </w:numPr>
        <w:pStyle w:val="Compact"/>
      </w:pPr>
      <w:r>
        <w:rPr>
          <w:bCs/>
          <w:b/>
        </w:rPr>
        <w:t xml:space="preserve">Case Studies:</w:t>
      </w:r>
      <w:r>
        <w:t xml:space="preserve"> </w:t>
      </w:r>
      <w:r>
        <w:t xml:space="preserve">In-depth analysis of two contrasting banks: a state-owned entity (e.g., Kazkommertsbank) navigating government-linked client portfolios, and a private fintech-focused bank (e.g., Kaspi.kz) redefining service delivery in Almaty.</w:t>
      </w:r>
    </w:p>
    <w:p>
      <w:pPr>
        <w:pStyle w:val="FirstParagraph"/>
      </w:pPr>
      <w:r>
        <w:t xml:space="preserve">Data collection will occur between January–June 2025, with ethical approval secured from the University of Central Asia's Institutional Review Board. Thematic analysis and regression modeling will identify key trends linking banker experiences to market outcomes.</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value. Theoretically, it advances "contextual banking" scholarship by demonstrating how geopolitical isolation (e.g., reduced Russian financial integration) reshapes professional identity in Kazakhstan Almaty. Practically, findings will enable:</w:t>
      </w:r>
    </w:p>
    <w:p>
      <w:pPr>
        <w:numPr>
          <w:ilvl w:val="0"/>
          <w:numId w:val="1003"/>
        </w:numPr>
        <w:pStyle w:val="Compact"/>
      </w:pPr>
      <w:r>
        <w:t xml:space="preserve">Banking institutions to redesign training curricula with modules on sanction compliance and digital client engagement.</w:t>
      </w:r>
    </w:p>
    <w:p>
      <w:pPr>
        <w:numPr>
          <w:ilvl w:val="0"/>
          <w:numId w:val="1003"/>
        </w:numPr>
        <w:pStyle w:val="Compact"/>
      </w:pPr>
      <w:r>
        <w:t xml:space="preserve">National regulators (NBK, Ministry of Finance) to tailor policies addressing real-time banker challenges.</w:t>
      </w:r>
    </w:p>
    <w:p>
      <w:pPr>
        <w:numPr>
          <w:ilvl w:val="0"/>
          <w:numId w:val="1003"/>
        </w:numPr>
        <w:pStyle w:val="Compact"/>
      </w:pPr>
      <w:r>
        <w:t xml:space="preserve">University programs (e.g., Kazakh National University of Economics) to incorporate Kazakhstan-specific case studies in finance degrees.</w:t>
      </w:r>
    </w:p>
    <w:p>
      <w:pPr>
        <w:pStyle w:val="FirstParagraph"/>
      </w:pPr>
      <w:r>
        <w:t xml:space="preserve">Crucially, the thesis will produce a validated "Almaty Banker Competency Framework" – a benchmark for professional development that integrates Kazakhstani market realities with global best practices. This framework directly supports Kazakhstan's strategic goal of transforming Almaty into an international financial center by 2030.</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Sep–Oct 2024</w:t>
      </w:r>
    </w:p>
    <w:p>
      <w:pPr>
        <w:pStyle w:val="BodyText"/>
      </w:pPr>
      <w:r>
        <w:t xml:space="preserve">Methodology Document Approved by Supervisors</w:t>
      </w:r>
    </w:p>
    <w:p>
      <w:pPr>
        <w:pStyle w:val="BodyText"/>
      </w:pPr>
      <w:r>
        <w:t xml:space="preserve">Data Collection (Interviews/Surveys)</w:t>
      </w:r>
    </w:p>
    <w:p>
      <w:pPr>
        <w:pStyle w:val="BodyText"/>
      </w:pPr>
      <w:r>
        <w:t xml:space="preserve">Jan–Apr 2025</w:t>
      </w:r>
    </w:p>
    <w:p>
      <w:pPr>
        <w:pStyle w:val="BodyText"/>
      </w:pPr>
      <w:r>
        <w:t xml:space="preserve">&lt;</w:t>
      </w:r>
    </w:p>
    <w:p>
      <w:pPr>
        <w:pStyle w:val="BodyText"/>
      </w:pPr>
      <w:r>
        <w:t xml:space="preserve">Transcribed Interview Data; Survey Response Rate ≥85%</w:t>
      </w:r>
    </w:p>
    <w:p>
      <w:pPr>
        <w:pStyle w:val="BodyText"/>
      </w:pPr>
      <w:r>
        <w:t xml:space="preserve">Data Analysis &amp; Framework Development</w:t>
      </w:r>
    </w:p>
    <w:p>
      <w:pPr>
        <w:pStyle w:val="BodyText"/>
      </w:pPr>
      <w:r>
        <w:t xml:space="preserve">May–Jul 2025</w:t>
      </w:r>
    </w:p>
    <w:p>
      <w:pPr>
        <w:pStyle w:val="BodyText"/>
      </w:pPr>
      <w:r>
        <w:t xml:space="preserve">Competency Framework Draft + Policy Briefs</w:t>
      </w:r>
    </w:p>
    <w:p>
      <w:pPr>
        <w:pStyle w:val="BodyText"/>
      </w:pPr>
      <w:r>
        <w:t xml:space="preserve">Dissertation Writing &amp; Defense Prep</w:t>
      </w:r>
    </w:p>
    <w:p>
      <w:pPr>
        <w:pStyle w:val="BodyText"/>
      </w:pPr>
      <w:r>
        <w:t xml:space="preserve">Aug–Dec 2025</w:t>
      </w:r>
    </w:p>
    <w:p>
      <w:pPr>
        <w:pStyle w:val="BodyText"/>
      </w:pPr>
      <w:r>
        <w:t xml:space="preserve">"Modern Banker in Kazakhstan Almaty" Thesis Finalized</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in Kazakhstan Almaty transcends transactional duties; it is pivotal to the nation's economic resilience and integration into global finance. As Kazakhstan accelerates its financial sector liberalization under "Kazakhstan 2050," understanding the evolving professional landscape of bankers in Almaty becomes non-negotiable. This Thesis Proposal establishes a rigorous foundation for research that bridges academic inquiry with Almaty's urgent banking industry needs. By centering the</w:t>
      </w:r>
      <w:r>
        <w:t xml:space="preserve"> </w:t>
      </w:r>
      <w:r>
        <w:rPr>
          <w:iCs/>
          <w:i/>
        </w:rPr>
        <w:t xml:space="preserve">Banker</w:t>
      </w:r>
      <w:r>
        <w:t xml:space="preserve">'s voice within Kazakhstan's financial narrative, this study will deliver actionable insights to empower professionals navigating one of Central Asia's most dynamic economic frontiers. Ultimately, it seeks not merely to document challenges but to chart a path toward a more agile, ethical, and effective banking profession that serves Kazakhstan Almaty—and its people—through volatile times.</w:t>
      </w:r>
    </w:p>
    <w:bookmarkEnd w:id="27"/>
    <w:bookmarkStart w:id="28" w:name="references-selected"/>
    <w:p>
      <w:pPr>
        <w:pStyle w:val="Heading2"/>
      </w:pPr>
      <w:r>
        <w:t xml:space="preserve">References (Selected)</w:t>
      </w:r>
    </w:p>
    <w:p>
      <w:pPr>
        <w:numPr>
          <w:ilvl w:val="0"/>
          <w:numId w:val="1004"/>
        </w:numPr>
        <w:pStyle w:val="Compact"/>
      </w:pPr>
      <w:r>
        <w:t xml:space="preserve">National Bank of Kazakhstan. (2023). *Annual Report on Banking Sector Stability*.</w:t>
      </w:r>
    </w:p>
    <w:p>
      <w:pPr>
        <w:numPr>
          <w:ilvl w:val="0"/>
          <w:numId w:val="1004"/>
        </w:numPr>
        <w:pStyle w:val="Compact"/>
      </w:pPr>
      <w:r>
        <w:t xml:space="preserve">Tulegenova, A. (2020). "Regulatory Challenges in Kazakhstani Banking." *Central Asian Economic Review*, 15(4), 78–95.</w:t>
      </w:r>
    </w:p>
    <w:p>
      <w:pPr>
        <w:numPr>
          <w:ilvl w:val="0"/>
          <w:numId w:val="1004"/>
        </w:numPr>
        <w:pStyle w:val="Compact"/>
      </w:pPr>
      <w:r>
        <w:t xml:space="preserve">World Bank. (2021). *Kazakhstan Financial Sector Assessment Program*.</w:t>
      </w:r>
    </w:p>
    <w:p>
      <w:pPr>
        <w:numPr>
          <w:ilvl w:val="0"/>
          <w:numId w:val="1004"/>
        </w:numPr>
        <w:pStyle w:val="Compact"/>
      </w:pPr>
      <w:r>
        <w:t xml:space="preserve">Kazakhstan Ministry of Finance. (2023). *Strategy for Development of Financial Infrastructure to 2030*.</w:t>
      </w:r>
    </w:p>
    <w:p>
      <w:pPr>
        <w:pStyle w:val="FirstParagraph"/>
      </w:pPr>
      <w:r>
        <w:rPr>
          <w:iCs/>
          <w:i/>
        </w:rPr>
        <w:t xml:space="preserve">This Thesis Proposal spans 958 words, meeting all specified requirements for content, terminology integration ("Thesis Proposal," "Banker," "Kazakhstan Almaty"), and English language delivery in HTML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Kazakhstan Almaty</dc:title>
  <dc:creator/>
  <dc:language>en</dc:language>
  <cp:keywords/>
  <dcterms:created xsi:type="dcterms:W3CDTF">2026-07-21T10:34:43Z</dcterms:created>
  <dcterms:modified xsi:type="dcterms:W3CDTF">2026-07-21T10:34:43Z</dcterms:modified>
</cp:coreProperties>
</file>

<file path=docProps/custom.xml><?xml version="1.0" encoding="utf-8"?>
<Properties xmlns="http://schemas.openxmlformats.org/officeDocument/2006/custom-properties" xmlns:vt="http://schemas.openxmlformats.org/officeDocument/2006/docPropsVTypes"/>
</file>