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Kuwait</w:t>
      </w:r>
      <w:r>
        <w:t xml:space="preserve"> </w:t>
      </w:r>
      <w:r>
        <w:t xml:space="preserve">City's</w:t>
      </w:r>
      <w:r>
        <w:t xml:space="preserve"> </w:t>
      </w:r>
      <w:r>
        <w:t xml:space="preserve">Financial</w:t>
      </w:r>
      <w:r>
        <w:t xml:space="preserve"> </w:t>
      </w:r>
      <w:r>
        <w:t xml:space="preserve">Ecosystem</w:t>
      </w:r>
    </w:p>
    <w:bookmarkStart w:id="29" w:name="X19c7c26fa6fd7549940b005b5cec310e669dcfe"/>
    <w:p>
      <w:pPr>
        <w:pStyle w:val="Heading1"/>
      </w:pPr>
      <w:r>
        <w:t xml:space="preserve">Thesis Proposal: The Evolving Role of the Banker in Kuwait City's Financial Ecosystem</w:t>
      </w:r>
    </w:p>
    <w:bookmarkStart w:id="20" w:name="introduction"/>
    <w:p>
      <w:pPr>
        <w:pStyle w:val="Heading2"/>
      </w:pPr>
      <w:r>
        <w:t xml:space="preserve">1. Introduction</w:t>
      </w:r>
    </w:p>
    <w:p>
      <w:pPr>
        <w:pStyle w:val="FirstParagraph"/>
      </w:pPr>
      <w:r>
        <w:t xml:space="preserve">The banking sector serves as the economic backbone of Kuwait, with Kuwait City functioning as its undisputed financial capital. As a nation navigating global economic shifts while maintaining its oil-dependent economy, the role of the modern</w:t>
      </w:r>
      <w:r>
        <w:t xml:space="preserve"> </w:t>
      </w:r>
      <w:r>
        <w:rPr>
          <w:iCs/>
          <w:i/>
        </w:rPr>
        <w:t xml:space="preserve">Banker</w:t>
      </w:r>
      <w:r>
        <w:t xml:space="preserve"> </w:t>
      </w:r>
      <w:r>
        <w:t xml:space="preserve">has transformed from traditional credit facilitator to strategic financial architect. This thesis proposal outlines a comprehensive study examining how contemporary banking professionals operate within Kuwait City's unique regulatory, cultural, and technological landscape. The research directly addresses the critical need to understand how</w:t>
      </w:r>
      <w:r>
        <w:t xml:space="preserve"> </w:t>
      </w:r>
      <w:r>
        <w:rPr>
          <w:bCs/>
          <w:b/>
        </w:rPr>
        <w:t xml:space="preserve">Banker</w:t>
      </w:r>
      <w:r>
        <w:t xml:space="preserve">s in</w:t>
      </w:r>
      <w:r>
        <w:t xml:space="preserve"> </w:t>
      </w:r>
      <w:r>
        <w:rPr>
          <w:bCs/>
          <w:b/>
        </w:rPr>
        <w:t xml:space="preserve">Kuwait Kuwait City</w:t>
      </w:r>
      <w:r>
        <w:t xml:space="preserve"> </w:t>
      </w:r>
      <w:r>
        <w:t xml:space="preserve">are adapting to digital disruption, regulatory reforms (particularly under Central Bank of Kuwait's Vision 2030), and evolving client expectations while upholding Islamic finance principles that dominate the market.</w:t>
      </w:r>
    </w:p>
    <w:bookmarkEnd w:id="20"/>
    <w:bookmarkStart w:id="21" w:name="problem-statement"/>
    <w:p>
      <w:pPr>
        <w:pStyle w:val="Heading2"/>
      </w:pPr>
      <w:r>
        <w:t xml:space="preserve">2. Problem Statement</w:t>
      </w:r>
    </w:p>
    <w:p>
      <w:pPr>
        <w:pStyle w:val="FirstParagraph"/>
      </w:pPr>
      <w:r>
        <w:t xml:space="preserve">Kuwait's banking sector faces unprecedented transformation. While Kuwait City houses over 90% of the nation's financial institutions, including all major banks and the Kuwait Financial Centre (KIPAC), a significant gap exists between academic research and real-world practice. Current literature predominantly focuses on macroeconomic indicators or regulatory frameworks but neglects the</w:t>
      </w:r>
      <w:r>
        <w:t xml:space="preserve"> </w:t>
      </w:r>
      <w:r>
        <w:rPr>
          <w:iCs/>
          <w:i/>
        </w:rPr>
        <w:t xml:space="preserve">human element</w:t>
      </w:r>
      <w:r>
        <w:t xml:space="preserve">—the day-to-day challenges, ethical dilemmas, and skill requirements faced by frontline</w:t>
      </w:r>
      <w:r>
        <w:t xml:space="preserve"> </w:t>
      </w:r>
      <w:r>
        <w:rPr>
          <w:bCs/>
          <w:b/>
        </w:rPr>
        <w:t xml:space="preserve">Banker</w:t>
      </w:r>
      <w:r>
        <w:t xml:space="preserve">s. This oversight is particularly acute in Kuwait City where cultural nuances (e.g., client relationships prioritizing personal trust over transactional efficiency), rapid fintech adoption (e.g., Mada payment system integration), and geopolitical sensitivities create a complex operational environment. Without understanding the</w:t>
      </w:r>
      <w:r>
        <w:t xml:space="preserve"> </w:t>
      </w:r>
      <w:r>
        <w:rPr>
          <w:iCs/>
          <w:i/>
        </w:rPr>
        <w:t xml:space="preserve">practitioner's perspective</w:t>
      </w:r>
      <w:r>
        <w:t xml:space="preserve">, policy recommendations remain disconnected from ground realities in</w:t>
      </w:r>
      <w:r>
        <w:t xml:space="preserve"> </w:t>
      </w:r>
      <w:r>
        <w:rPr>
          <w:bCs/>
          <w:b/>
        </w:rPr>
        <w:t xml:space="preserve">Kuwait Kuwait City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skillset required of modern bankers in Kuwait City, comparing traditional competencies with emerging digital and ESG (Environmental, Social, Governance) requirements.</w:t>
      </w:r>
    </w:p>
    <w:p>
      <w:pPr>
        <w:numPr>
          <w:ilvl w:val="0"/>
          <w:numId w:val="1001"/>
        </w:numPr>
        <w:pStyle w:val="Compact"/>
      </w:pPr>
      <w:r>
        <w:t xml:space="preserve">To assess how cultural factors in Kuwaiti banking relationships influence customer service models and risk assessment practices within Kuwait City's financial institutions.</w:t>
      </w:r>
    </w:p>
    <w:p>
      <w:pPr>
        <w:numPr>
          <w:ilvl w:val="0"/>
          <w:numId w:val="1001"/>
        </w:numPr>
        <w:pStyle w:val="Compact"/>
      </w:pPr>
      <w:r>
        <w:t xml:space="preserve">To evaluate the impact of Central Bank of Kuwait's regulatory initiatives (e.g., Digital Banking Framework 2023) on operational workflows for bankers across major banks in Kuwait City.</w:t>
      </w:r>
    </w:p>
    <w:p>
      <w:pPr>
        <w:numPr>
          <w:ilvl w:val="0"/>
          <w:numId w:val="1001"/>
        </w:numPr>
        <w:pStyle w:val="Compact"/>
      </w:pPr>
      <w:r>
        <w:t xml:space="preserve">To explore the unique challenges faced by female bankers in Kuwait City’s predominantly male financial sector, with a focus on career advancement and client acquisition.</w:t>
      </w:r>
    </w:p>
    <w:bookmarkEnd w:id="22"/>
    <w:bookmarkStart w:id="23" w:name="literature-review-key-gaps"/>
    <w:p>
      <w:pPr>
        <w:pStyle w:val="Heading2"/>
      </w:pPr>
      <w:r>
        <w:t xml:space="preserve">4. Literature Review (Key Gaps)</w:t>
      </w:r>
    </w:p>
    <w:p>
      <w:pPr>
        <w:pStyle w:val="FirstParagraph"/>
      </w:pPr>
      <w:r>
        <w:t xml:space="preserve">Existing studies (Al-Saeed, 2020; Al-Rashid &amp; Al-Ajmi, 2021) confirm Kuwait's banking sector growth but focus on aggregate data. They overlook how individual bankers navigate:</w:t>
      </w:r>
    </w:p>
    <w:p>
      <w:pPr>
        <w:numPr>
          <w:ilvl w:val="0"/>
          <w:numId w:val="1002"/>
        </w:numPr>
        <w:pStyle w:val="Compact"/>
      </w:pPr>
      <w:r>
        <w:t xml:space="preserve">The tension between Shariah compliance and digital innovation (e.g., blockchain in Islamic finance)</w:t>
      </w:r>
    </w:p>
    <w:p>
      <w:pPr>
        <w:numPr>
          <w:ilvl w:val="0"/>
          <w:numId w:val="1002"/>
        </w:numPr>
        <w:pStyle w:val="Compact"/>
      </w:pPr>
      <w:r>
        <w:t xml:space="preserve">Client expectations in a market where 73% of transactions involve face-to-face relationships (Kuwait Central Bank, 2022)</w:t>
      </w:r>
    </w:p>
    <w:p>
      <w:pPr>
        <w:numPr>
          <w:ilvl w:val="0"/>
          <w:numId w:val="1002"/>
        </w:numPr>
        <w:pStyle w:val="Compact"/>
      </w:pPr>
      <w:r>
        <w:t xml:space="preserve">The impact of youth-driven demand for neobank services on traditional banker roles</w:t>
      </w:r>
    </w:p>
    <w:p>
      <w:pPr>
        <w:pStyle w:val="FirstParagraph"/>
      </w:pPr>
      <w:r>
        <w:t xml:space="preserve">Crucially, no research has conducted granular fieldwork with bankers operating in</w:t>
      </w:r>
      <w:r>
        <w:t xml:space="preserve"> </w:t>
      </w:r>
      <w:r>
        <w:rPr>
          <w:bCs/>
          <w:b/>
        </w:rPr>
        <w:t xml:space="preserve">Kuwait Kuwait City</w:t>
      </w:r>
      <w:r>
        <w:t xml:space="preserve">—the epicenter where global banking standards intersect with local cultural practice. This thesis directly addresses that void.</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3"/>
        </w:numPr>
        <w:pStyle w:val="Compact"/>
      </w:pPr>
      <w:r>
        <w:rPr>
          <w:bCs/>
          <w:b/>
        </w:rPr>
        <w:t xml:space="preserve">Semi-structured Interviews (N=40):</w:t>
      </w:r>
      <w:r>
        <w:t xml:space="preserve"> </w:t>
      </w:r>
      <w:r>
        <w:t xml:space="preserve">With bankers across all levels (tellers to branch managers) at 8 major banks in Kuwait City (including AlAhli Bank, Kuwait International Bank, and local Islamic banks). Questions will focus on daily challenges, regulatory adaptation, and cultural navigation.</w:t>
      </w:r>
    </w:p>
    <w:p>
      <w:pPr>
        <w:numPr>
          <w:ilvl w:val="0"/>
          <w:numId w:val="1003"/>
        </w:numPr>
        <w:pStyle w:val="Compact"/>
      </w:pPr>
      <w:r>
        <w:rPr>
          <w:bCs/>
          <w:b/>
        </w:rPr>
        <w:t xml:space="preserve">Quantitative Survey (N=300):</w:t>
      </w:r>
      <w:r>
        <w:t xml:space="preserve"> </w:t>
      </w:r>
      <w:r>
        <w:t xml:space="preserve">Distributed to bankers via the Kuwait Banking Association. Metrics will include digital tool proficiency (scale 1-5), perceived client trust drivers, and ESG integration awareness.</w:t>
      </w:r>
    </w:p>
    <w:p>
      <w:pPr>
        <w:numPr>
          <w:ilvl w:val="0"/>
          <w:numId w:val="1003"/>
        </w:numPr>
        <w:pStyle w:val="Compact"/>
      </w:pPr>
      <w:r>
        <w:rPr>
          <w:bCs/>
          <w:b/>
        </w:rPr>
        <w:t xml:space="preserve">Regulatory Analysis:</w:t>
      </w:r>
      <w:r>
        <w:t xml:space="preserve"> </w:t>
      </w:r>
      <w:r>
        <w:t xml:space="preserve">Comparative review of Central Bank of Kuwait directives (2019-2024) against operational manuals from 5 Kuwait City-based banks to identify implementation gaps.</w:t>
      </w:r>
    </w:p>
    <w:p>
      <w:pPr>
        <w:pStyle w:val="FirstParagraph"/>
      </w:pPr>
      <w:r>
        <w:t xml:space="preserve">Data will be triangulated using NVivo for thematic analysis and SPSS for statistical validation. Ethical approval will be sought from the University of Kuwait's Research Ethics Board. All participants will remain anonymized per GDPR/Kuwaiti data laws.</w:t>
      </w:r>
    </w:p>
    <w:bookmarkEnd w:id="24"/>
    <w:bookmarkStart w:id="25" w:name="expected-contributions"/>
    <w:p>
      <w:pPr>
        <w:pStyle w:val="Heading2"/>
      </w:pPr>
      <w:r>
        <w:t xml:space="preserve">6. Expected Contributions</w:t>
      </w:r>
    </w:p>
    <w:p>
      <w:pPr>
        <w:pStyle w:val="FirstParagraph"/>
      </w:pPr>
      <w:r>
        <w:t xml:space="preserve">This research promises significant value to three key stakeholders:</w:t>
      </w:r>
    </w:p>
    <w:p>
      <w:pPr>
        <w:numPr>
          <w:ilvl w:val="0"/>
          <w:numId w:val="1004"/>
        </w:numPr>
        <w:pStyle w:val="Compact"/>
      </w:pPr>
      <w:r>
        <w:rPr>
          <w:bCs/>
          <w:b/>
        </w:rPr>
        <w:t xml:space="preserve">For Bankers in Kuwait City:</w:t>
      </w:r>
      <w:r>
        <w:t xml:space="preserve"> </w:t>
      </w:r>
      <w:r>
        <w:t xml:space="preserve">A practical framework for skill development, addressing the urgent need for digital literacy and cross-cultural communication training that aligns with local norms.</w:t>
      </w:r>
    </w:p>
    <w:p>
      <w:pPr>
        <w:numPr>
          <w:ilvl w:val="0"/>
          <w:numId w:val="1004"/>
        </w:numPr>
        <w:pStyle w:val="Compact"/>
      </w:pPr>
      <w:r>
        <w:rPr>
          <w:bCs/>
          <w:b/>
        </w:rPr>
        <w:t xml:space="preserve">For Financial Institutions:</w:t>
      </w:r>
      <w:r>
        <w:t xml:space="preserve"> </w:t>
      </w:r>
      <w:r>
        <w:t xml:space="preserve">Evidence-based recommendations to redesign branch operations, client onboarding processes, and leadership pipelines—particularly for female bankers who represent only 24% of management roles (Kuwait Central Bank Report, 2023).</w:t>
      </w:r>
    </w:p>
    <w:p>
      <w:pPr>
        <w:numPr>
          <w:ilvl w:val="0"/>
          <w:numId w:val="1004"/>
        </w:numPr>
        <w:pStyle w:val="Compact"/>
      </w:pPr>
      <w:r>
        <w:rPr>
          <w:bCs/>
          <w:b/>
        </w:rPr>
        <w:t xml:space="preserve">For Kuwaiti Policy Makers:</w:t>
      </w:r>
      <w:r>
        <w:t xml:space="preserve"> </w:t>
      </w:r>
      <w:r>
        <w:t xml:space="preserve">Data to refine regulatory sandboxes under Vision 2030, ensuring new fintech regulations support—not hinder—the human-centric banking model central to</w:t>
      </w:r>
      <w:r>
        <w:t xml:space="preserve"> </w:t>
      </w:r>
      <w:r>
        <w:rPr>
          <w:bCs/>
          <w:b/>
        </w:rPr>
        <w:t xml:space="preserve">Kuwait Kuwait City</w:t>
      </w:r>
      <w:r>
        <w:t xml:space="preserve">'s identity.</w:t>
      </w:r>
    </w:p>
    <w:p>
      <w:pPr>
        <w:pStyle w:val="FirstParagraph"/>
      </w:pPr>
      <w:r>
        <w:t xml:space="preserve">The study directly bridges theory and practice, moving beyond generic "banking innovation" discourse to deliver context-specific insights for the Gulf's most influential financial hub.</w:t>
      </w:r>
    </w:p>
    <w:bookmarkEnd w:id="25"/>
    <w:bookmarkStart w:id="26" w:name="significance-in-kuwaiti-context"/>
    <w:p>
      <w:pPr>
        <w:pStyle w:val="Heading2"/>
      </w:pPr>
      <w:r>
        <w:t xml:space="preserve">7. Significance in Kuwaiti Context</w:t>
      </w:r>
    </w:p>
    <w:p>
      <w:pPr>
        <w:pStyle w:val="FirstParagraph"/>
      </w:pPr>
      <w:r>
        <w:t xml:space="preserve">Kuwait City is not merely a location but the symbolic heart of Kuwait’s financial sovereignty. As regional competition intensifies with Dubai and Doha, preserving local banking excellence is paramount. This research recognizes that the</w:t>
      </w:r>
      <w:r>
        <w:t xml:space="preserve"> </w:t>
      </w:r>
      <w:r>
        <w:rPr>
          <w:bCs/>
          <w:b/>
        </w:rPr>
        <w:t xml:space="preserve">Banker</w:t>
      </w:r>
      <w:r>
        <w:t xml:space="preserve">—not just algorithms or branch networks—is the ultimate differentiator in building trust within a market where 68% of customers cite "personal relationship" as their top service criterion (Kuwait Financial Center Survey, 2023). By centering on Kuwait City’s unique ecosystem, this thesis positions human expertise as the core asset in navigating economic diversification away from hydrocarbons. It challenges the misconception that digital transformation equates to human obsolescence; instead, it argues that future-proof bankers will be those who master technology *while* deepening cultural intelligence.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Months 1-2</w:t>
      </w:r>
    </w:p>
    <w:p>
      <w:pPr>
        <w:pStyle w:val="BodyText"/>
      </w:pPr>
      <w:r>
        <w:t xml:space="preserve">Finalized interview protocol; Survey validation</w:t>
      </w:r>
    </w:p>
    <w:p>
      <w:pPr>
        <w:pStyle w:val="BodyText"/>
      </w:pPr>
      <w:r>
        <w:t xml:space="preserve">Data Collection (Interviews/Surveys)</w:t>
      </w:r>
    </w:p>
    <w:p>
      <w:pPr>
        <w:pStyle w:val="BodyText"/>
      </w:pPr>
      <w:r>
        <w:t xml:space="preserve">Months 3-5</w:t>
      </w:r>
    </w:p>
    <w:p>
      <w:pPr>
        <w:pStyle w:val="BodyText"/>
      </w:pPr>
      <w:r>
        <w:t xml:space="preserve">40 interviews; 300 survey responses from Kuwait City banks</w:t>
      </w:r>
    </w:p>
    <w:p>
      <w:pPr>
        <w:pStyle w:val="BodyText"/>
      </w:pPr>
      <w:r>
        <w:t xml:space="preserve">Data Analysis &amp; Drafting</w:t>
      </w:r>
    </w:p>
    <w:p>
      <w:pPr>
        <w:pStyle w:val="BodyText"/>
      </w:pPr>
      <w:r>
        <w:t xml:space="preserve">Months 6-8</w:t>
      </w:r>
    </w:p>
    <w:p>
      <w:pPr>
        <w:pStyle w:val="BodyText"/>
      </w:pPr>
      <w:r>
        <w:t xml:space="preserve">Thematic analysis complete; First full draft submitted</w:t>
      </w:r>
    </w:p>
    <w:p>
      <w:pPr>
        <w:pStyle w:val="BodyText"/>
      </w:pPr>
      <w:r>
        <w:t xml:space="preserve">Policy Recommendations &amp; Finalization</w:t>
      </w:r>
    </w:p>
    <w:p>
      <w:pPr>
        <w:pStyle w:val="BodyText"/>
      </w:pPr>
      <w:r>
        <w:t xml:space="preserve">Months 9-10</w:t>
      </w:r>
    </w:p>
    <w:bookmarkEnd w:id="27"/>
    <w:bookmarkStart w:id="28" w:name="conclusion"/>
    <w:p>
      <w:pPr>
        <w:pStyle w:val="Heading2"/>
      </w:pPr>
      <w:r>
        <w:t xml:space="preserve">9. Conclusion</w:t>
      </w:r>
    </w:p>
    <w:p>
      <w:pPr>
        <w:pStyle w:val="FirstParagraph"/>
      </w:pPr>
      <w:r>
        <w:t xml:space="preserve">This thesis proposal establishes an urgent academic and practical imperative to study the contemporary banker within Kuwait City's financial ecosystem. As Kuwait navigates economic diversification, the professional trajectory of its bankers directly impacts national financial resilience. By focusing on this intersection—</w:t>
      </w:r>
      <w:r>
        <w:rPr>
          <w:bCs/>
          <w:b/>
        </w:rPr>
        <w:t xml:space="preserve">Thesis Proposal</w:t>
      </w:r>
      <w:r>
        <w:t xml:space="preserve"> </w:t>
      </w:r>
      <w:r>
        <w:t xml:space="preserve">as a vehicle for change,</w:t>
      </w:r>
      <w:r>
        <w:t xml:space="preserve"> </w:t>
      </w:r>
      <w:r>
        <w:rPr>
          <w:bCs/>
          <w:b/>
        </w:rPr>
        <w:t xml:space="preserve">Banker</w:t>
      </w:r>
      <w:r>
        <w:t xml:space="preserve"> </w:t>
      </w:r>
      <w:r>
        <w:t xml:space="preserve">as the agent of transformation, and</w:t>
      </w:r>
      <w:r>
        <w:t xml:space="preserve"> </w:t>
      </w:r>
      <w:r>
        <w:rPr>
          <w:bCs/>
          <w:b/>
        </w:rPr>
        <w:t xml:space="preserve">Kuwait Kuwait City</w:t>
      </w:r>
      <w:r>
        <w:t xml:space="preserve"> </w:t>
      </w:r>
      <w:r>
        <w:t xml:space="preserve">as the laboratory for innovation—this research promises actionable insights that will empower banking professionals while strengthening Kuwait's position in global finance. The findings will not only inform academic discourse but also directly shape training programs at institutions like the Gulf Banking School in Kuwait City, ensuring that future bankers are equipped to lead with both technological acumen and cultural wisdom.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Kuwait City's Financial Ecosystem</dc:title>
  <dc:creator/>
  <dc:language>en</dc:language>
  <cp:keywords/>
  <dcterms:created xsi:type="dcterms:W3CDTF">2025-12-10T12:26:49Z</dcterms:created>
  <dcterms:modified xsi:type="dcterms:W3CDTF">2025-12-10T12:26:49Z</dcterms:modified>
</cp:coreProperties>
</file>

<file path=docProps/custom.xml><?xml version="1.0" encoding="utf-8"?>
<Properties xmlns="http://schemas.openxmlformats.org/officeDocument/2006/custom-properties" xmlns:vt="http://schemas.openxmlformats.org/officeDocument/2006/docPropsVTypes"/>
</file>