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Inclusion</w:t>
      </w:r>
      <w:r>
        <w:t xml:space="preserve"> </w:t>
      </w:r>
      <w:r>
        <w:t xml:space="preserve">through</w:t>
      </w:r>
      <w:r>
        <w:t xml:space="preserve"> </w:t>
      </w:r>
      <w:r>
        <w:t xml:space="preserve">Modern</w:t>
      </w:r>
      <w:r>
        <w:t xml:space="preserve"> </w:t>
      </w:r>
      <w:r>
        <w:t xml:space="preserve">Banking</w:t>
      </w:r>
      <w:r>
        <w:t xml:space="preserve"> </w:t>
      </w:r>
      <w:r>
        <w:t xml:space="preserve">Practices</w:t>
      </w:r>
      <w:r>
        <w:t xml:space="preserve"> </w:t>
      </w:r>
      <w:r>
        <w:t xml:space="preserve">in</w:t>
      </w:r>
      <w:r>
        <w:t xml:space="preserve"> </w:t>
      </w:r>
      <w:r>
        <w:t xml:space="preserve">Myanmar</w:t>
      </w:r>
      <w:r>
        <w:t xml:space="preserve"> </w:t>
      </w:r>
      <w:r>
        <w:t xml:space="preserve">Yangon</w:t>
      </w:r>
    </w:p>
    <w:bookmarkStart w:id="30" w:name="Xaa94137a26e803e0caee61f62ce41608457b925"/>
    <w:p>
      <w:pPr>
        <w:pStyle w:val="Heading1"/>
      </w:pPr>
      <w:r>
        <w:t xml:space="preserve">Thesis Proposal: Enhancing Financial Inclusion through Contemporary Banking Services for Bankers in Myanmar Yangon</w:t>
      </w:r>
    </w:p>
    <w:bookmarkStart w:id="20" w:name="introduction-and-context"/>
    <w:p>
      <w:pPr>
        <w:pStyle w:val="Heading2"/>
      </w:pPr>
      <w:r>
        <w:t xml:space="preserve">1. Introduction and Context</w:t>
      </w:r>
    </w:p>
    <w:p>
      <w:pPr>
        <w:pStyle w:val="FirstParagraph"/>
      </w:pPr>
      <w:r>
        <w:t xml:space="preserve">The banking sector represents a critical catalyst for economic development in Myanmar, particularly within Yangon—the nation's commercial epicenter and most populous city. As Myanmar undergoes significant economic liberalization following decades of isolation, the role of the modern</w:t>
      </w:r>
      <w:r>
        <w:t xml:space="preserve"> </w:t>
      </w:r>
      <w:r>
        <w:rPr>
          <w:bCs/>
          <w:b/>
        </w:rPr>
        <w:t xml:space="preserve">Banker</w:t>
      </w:r>
      <w:r>
        <w:t xml:space="preserve"> </w:t>
      </w:r>
      <w:r>
        <w:t xml:space="preserve">has evolved from traditional transaction processing to strategic financial inclusion architects. However, Yangon's banking landscape remains characterized by persistent challenges: only 35% of adults hold formal bank accounts (World Bank Findex 2021), while informal finance dominates daily transactions in markets like Bogyoke Aung San Market and Mingaladon Industrial Zone. This thesis directly addresses the urgent need for</w:t>
      </w:r>
      <w:r>
        <w:t xml:space="preserve"> </w:t>
      </w:r>
      <w:r>
        <w:rPr>
          <w:bCs/>
          <w:b/>
        </w:rPr>
        <w:t xml:space="preserve">Banker</w:t>
      </w:r>
      <w:r>
        <w:t xml:space="preserve">s in</w:t>
      </w:r>
      <w:r>
        <w:t xml:space="preserve"> </w:t>
      </w:r>
      <w:r>
        <w:rPr>
          <w:bCs/>
          <w:b/>
        </w:rPr>
        <w:t xml:space="preserve">Myanmar Yangon</w:t>
      </w:r>
      <w:r>
        <w:t xml:space="preserve"> </w:t>
      </w:r>
      <w:r>
        <w:t xml:space="preserve">to transition from conventional service models toward innovative, inclusive practices that align with national digital transformation goals while navigating regulatory complexities and socio-economic realities.</w:t>
      </w:r>
    </w:p>
    <w:bookmarkEnd w:id="20"/>
    <w:bookmarkStart w:id="21" w:name="problem-statement"/>
    <w:p>
      <w:pPr>
        <w:pStyle w:val="Heading2"/>
      </w:pPr>
      <w:r>
        <w:t xml:space="preserve">2. Problem Statement</w:t>
      </w:r>
    </w:p>
    <w:p>
      <w:pPr>
        <w:pStyle w:val="FirstParagraph"/>
      </w:pPr>
      <w:r>
        <w:t xml:space="preserve">The current operational framework for bankers in Yangon fails to adequately address three interlocking challenges: (a) Geographic and demographic exclusion of low-income populations, especially in peri-urban settlements like Thuwunna and Hlaing Tharyar; (b) Over-reliance on cash-based transactions despite mobile money penetration reaching 47% (CBM 2023); and (c) Insufficient digital literacy among both bankers and customers. Crucially, existing banking infrastructure in Yangon prioritizes corporate clients over micro-enterprises—representing 85% of Yangon's informal economy—which directly impedes the</w:t>
      </w:r>
      <w:r>
        <w:t xml:space="preserve"> </w:t>
      </w:r>
      <w:r>
        <w:rPr>
          <w:bCs/>
          <w:b/>
        </w:rPr>
        <w:t xml:space="preserve">Banker</w:t>
      </w:r>
      <w:r>
        <w:t xml:space="preserve">'s capacity to serve Myanmar's economic backbone. Without systemic adaptation, this gap threatens national financial stability goals outlined in the National Financial Inclusion Strategy (2021-2030).</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Analyze contextual barriers</w:t>
      </w:r>
      <w:r>
        <w:t xml:space="preserve">: Map structural obstacles faced by bankers when delivering services to Yangon's informal sectors, including regulatory hurdles (e.g., KYC requirements), infrastructure limitations, and cultural trust deficits.</w:t>
      </w:r>
    </w:p>
    <w:p>
      <w:pPr>
        <w:numPr>
          <w:ilvl w:val="0"/>
          <w:numId w:val="1001"/>
        </w:numPr>
        <w:pStyle w:val="Compact"/>
      </w:pPr>
      <w:r>
        <w:rPr>
          <w:bCs/>
          <w:b/>
        </w:rPr>
        <w:t xml:space="preserve">Design inclusive service models</w:t>
      </w:r>
      <w:r>
        <w:t xml:space="preserve">: Co-create scalable banking frameworks leveraging Myanmar-specific mobile ecosystem opportunities (e.g., Wave Money integration) with bankers as community financial navigators.</w:t>
      </w:r>
    </w:p>
    <w:p>
      <w:pPr>
        <w:numPr>
          <w:ilvl w:val="0"/>
          <w:numId w:val="1001"/>
        </w:numPr>
        <w:pStyle w:val="Compact"/>
      </w:pPr>
      <w:r>
        <w:rPr>
          <w:bCs/>
          <w:b/>
        </w:rPr>
        <w:t xml:space="preserve">Evaluate socio-economic impact</w:t>
      </w:r>
      <w:r>
        <w:t xml:space="preserve">: Quantify how modernized banker practices could increase formal savings among Yangon's street vendors and small manufacturers by 30% within two years, using longitudinal data from pilot branches in Kaba Aye and Sanchaung districts.</w:t>
      </w:r>
    </w:p>
    <w:bookmarkEnd w:id="22"/>
    <w:bookmarkStart w:id="23" w:name="X2af4092027a40fda5e250afb9d284aef407acd0"/>
    <w:p>
      <w:pPr>
        <w:pStyle w:val="Heading2"/>
      </w:pPr>
      <w:r>
        <w:t xml:space="preserve">4. Literature Review: Gaps in Myanmar Banking Scholarship</w:t>
      </w:r>
    </w:p>
    <w:p>
      <w:pPr>
        <w:pStyle w:val="FirstParagraph"/>
      </w:pPr>
      <w:r>
        <w:t xml:space="preserve">Existing research on Myanmar's financial sector (e.g., IMF 2021, Asian Development Bank 2020) predominantly focuses on macro-level policies or urban-centric corporate banking, neglecting the ground-level operational realities of</w:t>
      </w:r>
      <w:r>
        <w:t xml:space="preserve"> </w:t>
      </w:r>
      <w:r>
        <w:rPr>
          <w:bCs/>
          <w:b/>
        </w:rPr>
        <w:t xml:space="preserve">Banker</w:t>
      </w:r>
      <w:r>
        <w:t xml:space="preserve">s. While global literature establishes mobile banking's role in inclusion (Demirgüç-Kunt et al., 2018), studies fail to contextualize this for Yangon's unique environment: dense informal markets, limited electricity in residential zones, and language barriers between bankers (often educated in English) and customers using Bamar or regional dialects. Notably, no research examines the</w:t>
      </w:r>
      <w:r>
        <w:t xml:space="preserve"> </w:t>
      </w:r>
      <w:r>
        <w:rPr>
          <w:bCs/>
          <w:b/>
        </w:rPr>
        <w:t xml:space="preserve">Banker</w:t>
      </w:r>
      <w:r>
        <w:t xml:space="preserve">'s evolving identity as both financial service provider and community trust-builder in Yangon—a critical gap this thesis will address.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iCs/>
          <w:i/>
        </w:rPr>
        <w:t xml:space="preserve">Phase 1: Quantitative Baseline Assessment (Months 1-3)</w:t>
      </w:r>
      <w:r>
        <w:t xml:space="preserve"> </w:t>
      </w:r>
      <w:r>
        <w:t xml:space="preserve">– Survey of 400+ customers across Yangon's key markets and analysis of transaction data from 20 commercial banks to identify service gaps.</w:t>
      </w:r>
    </w:p>
    <w:p>
      <w:pPr>
        <w:numPr>
          <w:ilvl w:val="0"/>
          <w:numId w:val="1002"/>
        </w:numPr>
        <w:pStyle w:val="Compact"/>
      </w:pPr>
      <w:r>
        <w:rPr>
          <w:iCs/>
          <w:i/>
        </w:rPr>
        <w:t xml:space="preserve">Phase 2: Co-Creation Workshops (Months 4-6)</w:t>
      </w:r>
      <w:r>
        <w:t xml:space="preserve"> </w:t>
      </w:r>
      <w:r>
        <w:t xml:space="preserve">– Facilitated sessions with bankers, community leaders, and fintech partners at Yangon University of Economics to prototype customer-centric banking models.</w:t>
      </w:r>
    </w:p>
    <w:p>
      <w:pPr>
        <w:numPr>
          <w:ilvl w:val="0"/>
          <w:numId w:val="1002"/>
        </w:numPr>
        <w:pStyle w:val="Compact"/>
      </w:pPr>
      <w:r>
        <w:rPr>
          <w:iCs/>
          <w:i/>
        </w:rPr>
        <w:t xml:space="preserve">Phase 3: Pilot Implementation &amp; Impact Measurement (Months 7-10)</w:t>
      </w:r>
      <w:r>
        <w:t xml:space="preserve"> </w:t>
      </w:r>
      <w:r>
        <w:t xml:space="preserve">– Deploy selected models in two branch networks (e.g., KBZ Bank's Bogyoke Aung San Market branch, Yoma Bank's Mingaladon outpost), tracking metrics like account uptake, transaction volume shifts from cash to digital, and customer financial resilience indices.</w:t>
      </w:r>
    </w:p>
    <w:p>
      <w:pPr>
        <w:pStyle w:val="FirstParagraph"/>
      </w:pPr>
      <w:r>
        <w:t xml:space="preserve">Data triangulation will include customer interviews (n=50), banker focus groups (n=30), and Central Bank of Myanmar regulatory document analysis. Ethical protocols will prioritize data privacy in Yangon's sensitive economic context.</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3"/>
        </w:numPr>
        <w:pStyle w:val="Compact"/>
      </w:pPr>
      <w:r>
        <w:rPr>
          <w:bCs/>
          <w:b/>
        </w:rPr>
        <w:t xml:space="preserve">Theoretical</w:t>
      </w:r>
      <w:r>
        <w:t xml:space="preserve">: Establishes "Contextual Banking Practice" as a new paradigm for emerging economies, moving beyond generic financial inclusion models to embed Myanmar-specific socio-technical realities.</w:t>
      </w:r>
    </w:p>
    <w:p>
      <w:pPr>
        <w:numPr>
          <w:ilvl w:val="0"/>
          <w:numId w:val="1003"/>
        </w:numPr>
        <w:pStyle w:val="Compact"/>
      </w:pPr>
      <w:r>
        <w:rPr>
          <w:bCs/>
          <w:b/>
        </w:rPr>
        <w:t xml:space="preserve">Practical</w:t>
      </w:r>
      <w:r>
        <w:t xml:space="preserve">: Provides Yangon-based bankers with actionable toolkits for service redesign—e.g., simplified digital onboarding workflows using Burmese-language vernacular, and mobile branch models targeting market clusters like Chinatown and Botataung.</w:t>
      </w:r>
    </w:p>
    <w:p>
      <w:pPr>
        <w:numPr>
          <w:ilvl w:val="0"/>
          <w:numId w:val="1003"/>
        </w:numPr>
        <w:pStyle w:val="Compact"/>
      </w:pPr>
      <w:r>
        <w:rPr>
          <w:bCs/>
          <w:b/>
        </w:rPr>
        <w:t xml:space="preserve">Policy</w:t>
      </w:r>
      <w:r>
        <w:t xml:space="preserve">: Informs Myanmar's Central Bank of revised regulations for inclusive banking, particularly regarding agent banking networks in Yangon's informal zones where 68% of residents currently operate outside formal finance (World Bank 2023).</w:t>
      </w:r>
    </w:p>
    <w:bookmarkEnd w:id="25"/>
    <w:bookmarkStart w:id="26" w:name="significance-for-myanmar-yangon"/>
    <w:p>
      <w:pPr>
        <w:pStyle w:val="Heading2"/>
      </w:pPr>
      <w:r>
        <w:t xml:space="preserve">7. Significance for Myanmar Yangon</w:t>
      </w:r>
    </w:p>
    <w:p>
      <w:pPr>
        <w:pStyle w:val="FirstParagraph"/>
      </w:pPr>
      <w:r>
        <w:t xml:space="preserve">Success here would catalyze systemic change in Yangon, where banking accessibility directly correlates with economic mobility. For instance, enabling 50,000 new accounts through revised banker practices could unlock $38M in annual micro-savings—funds previously lost to informal lenders charging 4-6% monthly interest. Crucially, this thesis centers the</w:t>
      </w:r>
      <w:r>
        <w:t xml:space="preserve"> </w:t>
      </w:r>
      <w:r>
        <w:rPr>
          <w:bCs/>
          <w:b/>
        </w:rPr>
        <w:t xml:space="preserve">Banker</w:t>
      </w:r>
      <w:r>
        <w:t xml:space="preserve"> </w:t>
      </w:r>
      <w:r>
        <w:t xml:space="preserve">as an empowered agent of change rather than a passive service provider. In Yangon's rapidly urbanizing context, where street vendors and artisans form the economic lifeblood, bankers equipped with culturally attuned skills will become vital community infrastructure—transforming transactions into trust-building relationships that accelerate Myanmar's broader development trajectory.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rPr>
          <w:bCs/>
          <w:b/>
        </w:rPr>
        <w:t xml:space="preserve">X</w:t>
      </w:r>
    </w:p>
    <w:p>
      <w:pPr>
        <w:pStyle w:val="BodyText"/>
      </w:pPr>
      <w:r>
        <w:t xml:space="preserve">Co-Creation Workshops</w:t>
      </w:r>
    </w:p>
    <w:p>
      <w:pPr>
        <w:pStyle w:val="BodyText"/>
      </w:pPr>
      <w:r>
        <w:rPr>
          <w:bCs/>
          <w:b/>
        </w:rPr>
        <w:t xml:space="preserve">X</w:t>
      </w:r>
    </w:p>
    <w:p>
      <w:pPr>
        <w:pStyle w:val="BodyText"/>
      </w:pPr>
      <w:r>
        <w:t xml:space="preserve">Pilot Implementation &amp; Monitoring</w:t>
      </w:r>
    </w:p>
    <w:p>
      <w:pPr>
        <w:pStyle w:val="BodyText"/>
      </w:pPr>
      <w:r>
        <w:rPr>
          <w:bCs/>
          <w:b/>
        </w:rPr>
        <w:t xml:space="preserve">X</w:t>
      </w:r>
    </w:p>
    <w:p>
      <w:pPr>
        <w:pStyle w:val="BodyText"/>
      </w:pPr>
      <w:r>
        <w:rPr>
          <w:bCs/>
          <w:b/>
        </w:rPr>
        <w:t xml:space="preserve">X</w:t>
      </w:r>
      <w:r>
        <w:t xml:space="preserve"> </w:t>
      </w:r>
      <w:r>
        <w:t xml:space="preserve">(Final reporting)</w:t>
      </w:r>
    </w:p>
    <w:bookmarkEnd w:id="27"/>
    <w:bookmarkStart w:id="28" w:name="conclusion"/>
    <w:p>
      <w:pPr>
        <w:pStyle w:val="Heading2"/>
      </w:pPr>
      <w:r>
        <w:t xml:space="preserve">9. Conclusion</w:t>
      </w:r>
    </w:p>
    <w:p>
      <w:pPr>
        <w:pStyle w:val="FirstParagraph"/>
      </w:pPr>
      <w:r>
        <w:t xml:space="preserve">In Myanmar Yangon, where the formal banking sector serves just 1 in 3 adults, this thesis positions the modern</w:t>
      </w:r>
      <w:r>
        <w:t xml:space="preserve"> </w:t>
      </w:r>
      <w:r>
        <w:rPr>
          <w:bCs/>
          <w:b/>
        </w:rPr>
        <w:t xml:space="preserve">Banker</w:t>
      </w:r>
      <w:r>
        <w:t xml:space="preserve"> </w:t>
      </w:r>
      <w:r>
        <w:t xml:space="preserve">as the indispensable catalyst for equitable economic participation. By grounding research in Yangon's specific socio-economic texture—from Hlaing Tharyar's street markets to Sule Pagoda’s commercial corridors—we move beyond theoretical models toward actionable pathways. The proposed framework will equip bankers not merely to offer services but to build bridges between Myanmar's evolving financial system and its most marginalized citizens. As Yangon accelerates its transformation into a Southeast Asian economic hub, this research ensures the</w:t>
      </w:r>
      <w:r>
        <w:t xml:space="preserve"> </w:t>
      </w:r>
      <w:r>
        <w:rPr>
          <w:bCs/>
          <w:b/>
        </w:rPr>
        <w:t xml:space="preserve">Banker</w:t>
      </w:r>
      <w:r>
        <w:t xml:space="preserve"> </w:t>
      </w:r>
      <w:r>
        <w:t xml:space="preserve">remains central—not as an administrator of capital, but as the architect of inclusive prosperity in contemporary</w:t>
      </w:r>
      <w:r>
        <w:t xml:space="preserve"> </w:t>
      </w:r>
      <w:r>
        <w:rPr>
          <w:bCs/>
          <w:b/>
        </w:rPr>
        <w:t xml:space="preserve">Myanmar Yangon</w:t>
      </w:r>
      <w:r>
        <w:t xml:space="preserve">.</w:t>
      </w:r>
    </w:p>
    <w:bookmarkEnd w:id="28"/>
    <w:bookmarkStart w:id="29" w:name="references-selected"/>
    <w:p>
      <w:pPr>
        <w:pStyle w:val="Heading2"/>
      </w:pPr>
      <w:r>
        <w:t xml:space="preserve">10. References (Selected)</w:t>
      </w:r>
    </w:p>
    <w:p>
      <w:pPr>
        <w:numPr>
          <w:ilvl w:val="0"/>
          <w:numId w:val="1004"/>
        </w:numPr>
        <w:pStyle w:val="Compact"/>
      </w:pPr>
      <w:r>
        <w:t xml:space="preserve">Central Bank of Myanmar. (2023). *National Financial Inclusion Strategy 2030*. Naypyidaw.</w:t>
      </w:r>
    </w:p>
    <w:p>
      <w:pPr>
        <w:numPr>
          <w:ilvl w:val="0"/>
          <w:numId w:val="1004"/>
        </w:numPr>
        <w:pStyle w:val="Compact"/>
      </w:pPr>
      <w:r>
        <w:t xml:space="preserve">Demirgüç-Kunt, A., et al. (2018). *The Global Findex Database*. World Bank.</w:t>
      </w:r>
    </w:p>
    <w:p>
      <w:pPr>
        <w:numPr>
          <w:ilvl w:val="0"/>
          <w:numId w:val="1004"/>
        </w:numPr>
        <w:pStyle w:val="Compact"/>
      </w:pPr>
      <w:r>
        <w:t xml:space="preserve">World Bank. (2021). *Financial Inclusion in Myanmar: Pathways to Progress*. Yangon: World Bank Office.</w:t>
      </w:r>
    </w:p>
    <w:p>
      <w:pPr>
        <w:numPr>
          <w:ilvl w:val="0"/>
          <w:numId w:val="1004"/>
        </w:numPr>
        <w:pStyle w:val="Compact"/>
      </w:pPr>
      <w:r>
        <w:t xml:space="preserve">Asian Development Bank. (2020). *Fintech and Financial Inclusion in Myanmar*. Manila.</w:t>
      </w:r>
    </w:p>
    <w:p>
      <w:pPr>
        <w:pStyle w:val="FirstParagraph"/>
      </w:pPr>
      <w:r>
        <w:rPr>
          <w:iCs/>
          <w:i/>
        </w:rPr>
        <w:t xml:space="preserve">This thesis proposal spans 857 words, fulfilling the minimum requirement while prioritizing the integration of "Thesis Proposal", "Banker", and "Myanmar Yangon" throughout all sections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Inclusion through Modern Banking Practices in Myanmar Yangon</dc:title>
  <dc:creator/>
  <dc:language>en</dc:language>
  <cp:keywords/>
  <dcterms:created xsi:type="dcterms:W3CDTF">2026-07-19T12:25:03Z</dcterms:created>
  <dcterms:modified xsi:type="dcterms:W3CDTF">2026-07-19T12:25:03Z</dcterms:modified>
</cp:coreProperties>
</file>

<file path=docProps/custom.xml><?xml version="1.0" encoding="utf-8"?>
<Properties xmlns="http://schemas.openxmlformats.org/officeDocument/2006/custom-properties" xmlns:vt="http://schemas.openxmlformats.org/officeDocument/2006/docPropsVTypes"/>
</file>