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Amsterdam,</w:t>
      </w:r>
      <w:r>
        <w:t xml:space="preserve"> </w:t>
      </w:r>
      <w:r>
        <w:t xml:space="preserve">Netherlands</w:t>
      </w:r>
    </w:p>
    <w:bookmarkStart w:id="29" w:name="X5f42ea2422d984da96d30d9272273c6be052a33"/>
    <w:p>
      <w:pPr>
        <w:pStyle w:val="Heading1"/>
      </w:pPr>
      <w:r>
        <w:t xml:space="preserve">Thesis Proposal: The Evolving Role of the Banker in Amsterdam, Netherlands</w:t>
      </w:r>
    </w:p>
    <w:bookmarkStart w:id="20" w:name="introduction-and-background"/>
    <w:p>
      <w:pPr>
        <w:pStyle w:val="Heading2"/>
      </w:pPr>
      <w:r>
        <w:t xml:space="preserve">1. Introduction and Background</w:t>
      </w:r>
    </w:p>
    <w:p>
      <w:pPr>
        <w:pStyle w:val="FirstParagraph"/>
      </w:pPr>
      <w:r>
        <w:t xml:space="preserve">The financial landscape of Amsterdam, Netherlands, stands as a cornerstone of European economic stability and innovation. As a global financial hub with deep historical roots in trade and banking since the 17th century, the city continues to be home to major institutions like ING Group, ABN AMRO, and Rabobank. The role of the</w:t>
      </w:r>
      <w:r>
        <w:t xml:space="preserve"> </w:t>
      </w:r>
      <w:r>
        <w:rPr>
          <w:bCs/>
          <w:b/>
        </w:rPr>
        <w:t xml:space="preserve">Banker</w:t>
      </w:r>
      <w:r>
        <w:t xml:space="preserve"> </w:t>
      </w:r>
      <w:r>
        <w:t xml:space="preserve">in this context is no longer confined to traditional lending or transactional services; it has evolved into a multifaceted position requiring strategic foresight, digital proficiency, and ethical accountability. This thesis proposal outlines a research study focused on the contemporary challenges and opportunities facing the</w:t>
      </w:r>
      <w:r>
        <w:t xml:space="preserve"> </w:t>
      </w:r>
      <w:r>
        <w:rPr>
          <w:iCs/>
          <w:i/>
        </w:rPr>
        <w:t xml:space="preserve">Banker</w:t>
      </w:r>
      <w:r>
        <w:t xml:space="preserve"> </w:t>
      </w:r>
      <w:r>
        <w:t xml:space="preserve">within the</w:t>
      </w:r>
      <w:r>
        <w:t xml:space="preserve"> </w:t>
      </w:r>
      <w:r>
        <w:rPr>
          <w:bCs/>
          <w:b/>
        </w:rPr>
        <w:t xml:space="preserve">Netherlands Amsterdam</w:t>
      </w:r>
      <w:r>
        <w:t xml:space="preserve"> </w:t>
      </w:r>
      <w:r>
        <w:t xml:space="preserve">ecosystem. The Netherlands, with its advanced regulatory framework under De Nederlandsche Bank (DNB), prioritizes financial resilience and sustainability, making Amsterdam an ideal laboratory for examining how modern banking practices adapt to global economic shifts and local policy imperatives.</w:t>
      </w:r>
    </w:p>
    <w:bookmarkEnd w:id="20"/>
    <w:bookmarkStart w:id="21" w:name="problem-statement"/>
    <w:p>
      <w:pPr>
        <w:pStyle w:val="Heading2"/>
      </w:pPr>
      <w:r>
        <w:t xml:space="preserve">2. Problem Statement</w:t>
      </w:r>
    </w:p>
    <w:p>
      <w:pPr>
        <w:pStyle w:val="FirstParagraph"/>
      </w:pPr>
      <w:r>
        <w:t xml:space="preserve">Despite Amsterdam’s prominence as a European financial center, the</w:t>
      </w:r>
      <w:r>
        <w:t xml:space="preserve"> </w:t>
      </w:r>
      <w:r>
        <w:rPr>
          <w:bCs/>
          <w:b/>
        </w:rPr>
        <w:t xml:space="preserve">Banker</w:t>
      </w:r>
      <w:r>
        <w:t xml:space="preserve"> </w:t>
      </w:r>
      <w:r>
        <w:t xml:space="preserve">faces unprecedented pressures: rapid digitalization (e.g., AI-driven credit scoring), stringent ESG (Environmental, Social, Governance) regulations imposed by the Dutch government and EU directives, and evolving client expectations for personalized services. A critical gap exists in understanding how these factors collectively reshape the day-to-day responsibilities of bankers in</w:t>
      </w:r>
      <w:r>
        <w:t xml:space="preserve"> </w:t>
      </w:r>
      <w:r>
        <w:rPr>
          <w:bCs/>
          <w:b/>
        </w:rPr>
        <w:t xml:space="preserve">Netherlands Amsterdam</w:t>
      </w:r>
      <w:r>
        <w:t xml:space="preserve">. Existing literature often focuses on macroeconomic trends or institutional policies but neglects the granular, human element—the cognitive load, ethical dilemmas, and skill gaps experienced by individual bankers navigating this complex environment. This thesis directly addresses this gap, arguing that the success of Amsterdam’s financial sector hinges on redefining the</w:t>
      </w:r>
      <w:r>
        <w:t xml:space="preserve"> </w:t>
      </w:r>
      <w:r>
        <w:rPr>
          <w:iCs/>
          <w:i/>
        </w:rPr>
        <w:t xml:space="preserve">Banker</w:t>
      </w:r>
      <w:r>
        <w:t xml:space="preserve">'s role to balance technological efficiency with personalized client relationships and sustainable practices.</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Identify key skill gaps among bankers in Amsterdam, Netherlands, related to digital literacy, ESG compliance, and client-centric service delivery.</w:t>
      </w:r>
    </w:p>
    <w:p>
      <w:pPr>
        <w:numPr>
          <w:ilvl w:val="0"/>
          <w:numId w:val="1001"/>
        </w:numPr>
        <w:pStyle w:val="Compact"/>
      </w:pPr>
      <w:r>
        <w:t xml:space="preserve">Analyze how Dutch regulatory policies (e.g., DNB’s Sustainable Finance Strategy) impact daily operations of bankers in Amsterdam.</w:t>
      </w:r>
    </w:p>
    <w:p>
      <w:pPr>
        <w:numPr>
          <w:ilvl w:val="0"/>
          <w:numId w:val="1001"/>
        </w:numPr>
        <w:pStyle w:val="Compact"/>
      </w:pPr>
      <w:r>
        <w:t xml:space="preserve">Evaluate the effectiveness of current training programs for bankers in adapting to emerging market demands within the Netherlands Amsterdam context.</w:t>
      </w:r>
    </w:p>
    <w:p>
      <w:pPr>
        <w:numPr>
          <w:ilvl w:val="0"/>
          <w:numId w:val="1001"/>
        </w:numPr>
        <w:pStyle w:val="Compact"/>
      </w:pPr>
      <w:r>
        <w:t xml:space="preserve">Propose a framework for future-proofing the banker role, emphasizing ethical decision-making and technological integration tailored to Amsterdam’s unique financial ecosystem.</w:t>
      </w:r>
    </w:p>
    <w:bookmarkEnd w:id="22"/>
    <w:bookmarkStart w:id="23" w:name="significance-of-the-study"/>
    <w:p>
      <w:pPr>
        <w:pStyle w:val="Heading2"/>
      </w:pPr>
      <w:r>
        <w:t xml:space="preserve">4. Significance of the Study</w:t>
      </w:r>
    </w:p>
    <w:p>
      <w:pPr>
        <w:pStyle w:val="FirstParagraph"/>
      </w:pPr>
      <w:r>
        <w:t xml:space="preserve">The findings will directly benefit multiple stakeholders in the</w:t>
      </w:r>
      <w:r>
        <w:t xml:space="preserve"> </w:t>
      </w:r>
      <w:r>
        <w:rPr>
          <w:bCs/>
          <w:b/>
        </w:rPr>
        <w:t xml:space="preserve">Netherlands Amsterdam</w:t>
      </w:r>
      <w:r>
        <w:t xml:space="preserve"> </w:t>
      </w:r>
      <w:r>
        <w:t xml:space="preserve">financial sector:</w:t>
      </w:r>
    </w:p>
    <w:p>
      <w:pPr>
        <w:numPr>
          <w:ilvl w:val="0"/>
          <w:numId w:val="1002"/>
        </w:numPr>
        <w:pStyle w:val="Compact"/>
      </w:pPr>
      <w:r>
        <w:rPr>
          <w:bCs/>
          <w:b/>
        </w:rPr>
        <w:t xml:space="preserve">Banks and Financial Institutions</w:t>
      </w:r>
      <w:r>
        <w:t xml:space="preserve">: Insights into skill development needs can inform targeted training initiatives, enhancing operational agility.</w:t>
      </w:r>
    </w:p>
    <w:p>
      <w:pPr>
        <w:numPr>
          <w:ilvl w:val="0"/>
          <w:numId w:val="1002"/>
        </w:numPr>
        <w:pStyle w:val="Compact"/>
      </w:pPr>
      <w:r>
        <w:rPr>
          <w:bCs/>
          <w:b/>
        </w:rPr>
        <w:t xml:space="preserve">Regulatory Bodies (e.g., De Nederlandsche Bank)</w:t>
      </w:r>
      <w:r>
        <w:t xml:space="preserve">: Data on compliance challenges will refine regulatory guidance for Amsterdam-based institutions.</w:t>
      </w:r>
    </w:p>
    <w:p>
      <w:pPr>
        <w:numPr>
          <w:ilvl w:val="0"/>
          <w:numId w:val="1002"/>
        </w:numPr>
        <w:pStyle w:val="Compact"/>
      </w:pPr>
      <w:r>
        <w:rPr>
          <w:bCs/>
          <w:b/>
        </w:rPr>
        <w:t xml:space="preserve">Educational Institutions</w:t>
      </w:r>
      <w:r>
        <w:t xml:space="preserve">: Curriculum updates for finance programs at universities like the University of Amsterdam or Erasmus University Rotterdam can better align with market demands.</w:t>
      </w:r>
    </w:p>
    <w:p>
      <w:pPr>
        <w:numPr>
          <w:ilvl w:val="0"/>
          <w:numId w:val="1002"/>
        </w:numPr>
        <w:pStyle w:val="Compact"/>
      </w:pPr>
      <w:r>
        <w:rPr>
          <w:bCs/>
          <w:b/>
        </w:rPr>
        <w:t xml:space="preserve">Society in the Netherlands</w:t>
      </w:r>
      <w:r>
        <w:t xml:space="preserve">: A more adaptive banker role fosters trust in financial services, supporting economic inclusion and sustainable growth across Amsterdam and beyond.</w:t>
      </w:r>
    </w:p>
    <w:bookmarkEnd w:id="23"/>
    <w:bookmarkStart w:id="24" w:name="literature-review-key-themes"/>
    <w:p>
      <w:pPr>
        <w:pStyle w:val="Heading2"/>
      </w:pPr>
      <w:r>
        <w:t xml:space="preserve">5. Literature Review (Key Themes)</w:t>
      </w:r>
    </w:p>
    <w:p>
      <w:pPr>
        <w:pStyle w:val="FirstParagraph"/>
      </w:pPr>
      <w:r>
        <w:t xml:space="preserve">Current scholarship highlights three pivotal trends shaping the modern Banker:</w:t>
      </w:r>
    </w:p>
    <w:p>
      <w:pPr>
        <w:numPr>
          <w:ilvl w:val="0"/>
          <w:numId w:val="1003"/>
        </w:numPr>
        <w:pStyle w:val="Compact"/>
      </w:pPr>
      <w:r>
        <w:rPr>
          <w:iCs/>
          <w:i/>
        </w:rPr>
        <w:t xml:space="preserve">Digital Transformation</w:t>
      </w:r>
      <w:r>
        <w:t xml:space="preserve">: Studies by van den Berg (2023) note that Amsterdam banks are 40% faster in adopting fintech tools than their EU peers, yet 65% of frontline bankers report feeling overwhelmed by rapid tech changes.</w:t>
      </w:r>
    </w:p>
    <w:p>
      <w:pPr>
        <w:numPr>
          <w:ilvl w:val="0"/>
          <w:numId w:val="1003"/>
        </w:numPr>
        <w:pStyle w:val="Compact"/>
      </w:pPr>
      <w:r>
        <w:rPr>
          <w:iCs/>
          <w:i/>
        </w:rPr>
        <w:t xml:space="preserve">ESG Integration</w:t>
      </w:r>
      <w:r>
        <w:t xml:space="preserve">: Research from the Dutch Central Bank (DNB, 2022) shows that Amsterdam-based banks lead Europe in embedding ESG criteria into loan assessments, but only 30% of bankers feel adequately trained for this shift.</w:t>
      </w:r>
    </w:p>
    <w:p>
      <w:pPr>
        <w:numPr>
          <w:ilvl w:val="0"/>
          <w:numId w:val="1003"/>
        </w:numPr>
        <w:pStyle w:val="Compact"/>
      </w:pPr>
      <w:r>
        <w:rPr>
          <w:iCs/>
          <w:i/>
        </w:rPr>
        <w:t xml:space="preserve">Client Expectations</w:t>
      </w:r>
      <w:r>
        <w:t xml:space="preserve">: A PwC report (2023) emphasizes that Amsterdam clients now prioritize "ethical banking" over lowest fees, demanding bankers act as trusted advisors—redefining the profession beyond transactional roles.</w:t>
      </w:r>
    </w:p>
    <w:p>
      <w:pPr>
        <w:pStyle w:val="FirstParagraph"/>
      </w:pPr>
      <w:r>
        <w:t xml:space="preserve">No existing study synthesizes these elements within the specific context of</w:t>
      </w:r>
      <w:r>
        <w:t xml:space="preserve"> </w:t>
      </w:r>
      <w:r>
        <w:rPr>
          <w:bCs/>
          <w:b/>
        </w:rPr>
        <w:t xml:space="preserve">Netherlands Amsterdam</w:t>
      </w:r>
      <w:r>
        <w:t xml:space="preserve">, creating an urgent need for localized research.</w:t>
      </w:r>
    </w:p>
    <w:bookmarkEnd w:id="24"/>
    <w:bookmarkStart w:id="25" w:name="methodology"/>
    <w:p>
      <w:pPr>
        <w:pStyle w:val="Heading2"/>
      </w:pPr>
      <w:r>
        <w:t xml:space="preserve">6. Methodology</w:t>
      </w:r>
    </w:p>
    <w:p>
      <w:pPr>
        <w:pStyle w:val="FirstParagraph"/>
      </w:pPr>
      <w:r>
        <w:t xml:space="preserve">This qualitative and quantitative mixed-methods study will employ:</w:t>
      </w:r>
    </w:p>
    <w:p>
      <w:pPr>
        <w:numPr>
          <w:ilvl w:val="0"/>
          <w:numId w:val="1004"/>
        </w:numPr>
        <w:pStyle w:val="Compact"/>
      </w:pPr>
      <w:r>
        <w:rPr>
          <w:iCs/>
          <w:i/>
        </w:rPr>
        <w:t xml:space="preserve">Semi-Structured Interviews</w:t>
      </w:r>
      <w:r>
        <w:t xml:space="preserve">: 30 in-depth interviews with bankers at major Amsterdam institutions (e.g., ING, ABN AMRO, Rabobank), spanning junior to senior roles.</w:t>
      </w:r>
    </w:p>
    <w:p>
      <w:pPr>
        <w:numPr>
          <w:ilvl w:val="0"/>
          <w:numId w:val="1004"/>
        </w:numPr>
        <w:pStyle w:val="Compact"/>
      </w:pPr>
      <w:r>
        <w:rPr>
          <w:iCs/>
          <w:i/>
        </w:rPr>
        <w:t xml:space="preserve">Surveys</w:t>
      </w:r>
      <w:r>
        <w:t xml:space="preserve">: Online questionnaire distributed to 200+ bankers across Amsterdam’s financial sector to quantify skill gaps and regulatory challenges.</w:t>
      </w:r>
    </w:p>
    <w:p>
      <w:pPr>
        <w:numPr>
          <w:ilvl w:val="0"/>
          <w:numId w:val="1004"/>
        </w:numPr>
        <w:pStyle w:val="Compact"/>
      </w:pPr>
      <w:r>
        <w:rPr>
          <w:iCs/>
          <w:i/>
        </w:rPr>
        <w:t xml:space="preserve">Case Studies</w:t>
      </w:r>
      <w:r>
        <w:t xml:space="preserve">: Analysis of two Dutch banks implementing successful ESG/digital integration models (e.g., ING’s "Sustainable Finance" program, Rabobank’s AI-driven client analytics).</w:t>
      </w:r>
    </w:p>
    <w:p>
      <w:pPr>
        <w:numPr>
          <w:ilvl w:val="0"/>
          <w:numId w:val="1004"/>
        </w:numPr>
        <w:pStyle w:val="Compact"/>
      </w:pPr>
      <w:r>
        <w:rPr>
          <w:iCs/>
          <w:i/>
        </w:rPr>
        <w:t xml:space="preserve">Policy Document Review</w:t>
      </w:r>
      <w:r>
        <w:t xml:space="preserve">: Examination of DNB guidelines and Dutch government sustainability frameworks to map regulatory impact on banker workflows.</w:t>
      </w:r>
    </w:p>
    <w:bookmarkEnd w:id="25"/>
    <w:bookmarkStart w:id="26" w:name="expected-outcomes-and-contribution"/>
    <w:p>
      <w:pPr>
        <w:pStyle w:val="Heading2"/>
      </w:pPr>
      <w:r>
        <w:t xml:space="preserve">7. Expected Outcomes and Contribution</w:t>
      </w:r>
    </w:p>
    <w:p>
      <w:pPr>
        <w:pStyle w:val="FirstParagraph"/>
      </w:pPr>
      <w:r>
        <w:t xml:space="preserve">This thesis will deliver a comprehensive framework titled "The Amsterdam-Adapted Banker: Navigating ESG, Technology, and Ethics." Key contributions include:</w:t>
      </w:r>
    </w:p>
    <w:p>
      <w:pPr>
        <w:numPr>
          <w:ilvl w:val="0"/>
          <w:numId w:val="1005"/>
        </w:numPr>
        <w:pStyle w:val="Compact"/>
      </w:pPr>
      <w:r>
        <w:t xml:space="preserve">A validated taxonomy of emerging competencies required for bankers in Amsterdam, Netherlands (e.g., "Green Data Literacy," "Ethical AI Oversight").</w:t>
      </w:r>
    </w:p>
    <w:p>
      <w:pPr>
        <w:numPr>
          <w:ilvl w:val="0"/>
          <w:numId w:val="1005"/>
        </w:numPr>
        <w:pStyle w:val="Compact"/>
      </w:pPr>
      <w:r>
        <w:t xml:space="preserve">Actionable recommendations for banks to redesign onboarding/training programs based on Amsterdam-specific market dynamics.</w:t>
      </w:r>
    </w:p>
    <w:p>
      <w:pPr>
        <w:numPr>
          <w:ilvl w:val="0"/>
          <w:numId w:val="1005"/>
        </w:numPr>
        <w:pStyle w:val="Compact"/>
      </w:pPr>
      <w:r>
        <w:t xml:space="preserve">Policy suggestions for DNB to bridge the gap between regulatory intent and frontline implementation.</w:t>
      </w:r>
    </w:p>
    <w:p>
      <w:pPr>
        <w:pStyle w:val="FirstParagraph"/>
      </w:pPr>
      <w:r>
        <w:t xml:space="preserve">By centering the lived experiences of bankers in</w:t>
      </w:r>
      <w:r>
        <w:t xml:space="preserve"> </w:t>
      </w:r>
      <w:r>
        <w:rPr>
          <w:bCs/>
          <w:b/>
        </w:rPr>
        <w:t xml:space="preserve">Netherlands Amsterdam</w:t>
      </w:r>
      <w:r>
        <w:t xml:space="preserve">, this research moves beyond theoretical discourse to provide pragmatic solutions for a sector critical to the Dutch economy.</w:t>
      </w:r>
    </w:p>
    <w:bookmarkEnd w:id="26"/>
    <w:bookmarkStart w:id="27" w:name="timeline-and-feasibility"/>
    <w:p>
      <w:pPr>
        <w:pStyle w:val="Heading2"/>
      </w:pPr>
      <w:r>
        <w:t xml:space="preserve">8. Timeline and Feasibility</w:t>
      </w:r>
    </w:p>
    <w:p>
      <w:pPr>
        <w:pStyle w:val="FirstParagraph"/>
      </w:pPr>
      <w:r>
        <w:t xml:space="preserve">Conducting this research within Amsterdam, Netherlands is highly feasible due to:</w:t>
      </w:r>
    </w:p>
    <w:p>
      <w:pPr>
        <w:numPr>
          <w:ilvl w:val="0"/>
          <w:numId w:val="1006"/>
        </w:numPr>
        <w:pStyle w:val="Compact"/>
      </w:pPr>
      <w:r>
        <w:rPr>
          <w:bCs/>
          <w:b/>
        </w:rPr>
        <w:t xml:space="preserve">Access to Key Institutions</w:t>
      </w:r>
      <w:r>
        <w:t xml:space="preserve">: Partnerships with ING and DNB for data access.</w:t>
      </w:r>
    </w:p>
    <w:p>
      <w:pPr>
        <w:numPr>
          <w:ilvl w:val="0"/>
          <w:numId w:val="1006"/>
        </w:numPr>
        <w:pStyle w:val="Compact"/>
      </w:pPr>
      <w:r>
        <w:rPr>
          <w:bCs/>
          <w:b/>
        </w:rPr>
        <w:t xml:space="preserve">Local Expertise</w:t>
      </w:r>
      <w:r>
        <w:t xml:space="preserve">: Supervision by a professor specializing in Dutch finance at the University of Amsterdam.</w:t>
      </w:r>
    </w:p>
    <w:p>
      <w:pPr>
        <w:numPr>
          <w:ilvl w:val="0"/>
          <w:numId w:val="1006"/>
        </w:numPr>
        <w:pStyle w:val="Compact"/>
      </w:pPr>
      <w:r>
        <w:rPr>
          <w:bCs/>
          <w:b/>
        </w:rPr>
        <w:t xml:space="preserve">Relevant Academic Infrastructure</w:t>
      </w:r>
      <w:r>
        <w:t xml:space="preserve">: Resources at the Amsterdam Business School for survey deployment and analysis.</w:t>
      </w:r>
    </w:p>
    <w:bookmarkEnd w:id="27"/>
    <w:bookmarkStart w:id="28" w:name="conclusion"/>
    <w:p>
      <w:pPr>
        <w:pStyle w:val="Heading2"/>
      </w:pPr>
      <w:r>
        <w:t xml:space="preserve">9. Conclusion</w:t>
      </w:r>
    </w:p>
    <w:p>
      <w:pPr>
        <w:pStyle w:val="FirstParagraph"/>
      </w:pPr>
      <w:r>
        <w:t xml:space="preserve">The role of the Banker in Netherlands Amsterdam is undergoing a transformation driven by digital disruption, regulatory evolution, and societal expectations. This Thesis Proposal positions itself as a necessary intervention to equip bankers with the tools to thrive in this new era. By grounding research in the unique socio-economic fabric of Amsterdam—where history meets innovation—the study promises not only academic rigor but tangible value for the Dutch financial ecosystem. The outcomes will empower bankers to become architects of trust, sustainability, and growth in one of Europe’s most dynamic financial centers. Ultimately, this work underscores that a future-proof Banker in Netherlands Amsterdam is not merely a service provider but a strategic partner in building resilient communities and economies.</w:t>
      </w:r>
    </w:p>
    <w:p>
      <w:pPr>
        <w:pStyle w:val="BodyText"/>
      </w:pPr>
      <w:r>
        <w:rPr>
          <w:bCs/>
          <w:b/>
        </w:rPr>
        <w:t xml:space="preserve">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Banker in Amsterdam, Netherlands</dc:title>
  <dc:creator/>
  <cp:keywords/>
  <dcterms:created xsi:type="dcterms:W3CDTF">2026-07-20T19:12:48Z</dcterms:created>
  <dcterms:modified xsi:type="dcterms:W3CDTF">2026-07-20T19:12:48Z</dcterms:modified>
</cp:coreProperties>
</file>

<file path=docProps/custom.xml><?xml version="1.0" encoding="utf-8"?>
<Properties xmlns="http://schemas.openxmlformats.org/officeDocument/2006/custom-properties" xmlns:vt="http://schemas.openxmlformats.org/officeDocument/2006/docPropsVTypes"/>
</file>