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9" w:name="X76e38fd72b94e4e2823f7493ba2e2b0662ebc53"/>
    <w:p>
      <w:pPr>
        <w:pStyle w:val="Heading1"/>
      </w:pPr>
      <w:r>
        <w:t xml:space="preserve">Thesis Proposal: The Evolving Role of the Banker in Peru Lima's Financial Ecosystem</w:t>
      </w:r>
    </w:p>
    <w:bookmarkStart w:id="20" w:name="introduction-and-background"/>
    <w:p>
      <w:pPr>
        <w:pStyle w:val="Heading2"/>
      </w:pPr>
      <w:r>
        <w:t xml:space="preserve">1. Introduction and Background</w:t>
      </w:r>
    </w:p>
    <w:p>
      <w:pPr>
        <w:pStyle w:val="FirstParagraph"/>
      </w:pPr>
      <w:r>
        <w:t xml:space="preserve">The financial landscape of Peru, particularly in its economic epicenter Lima, is undergoing profound transformation driven by digital disruption, regulatory shifts, and evolving client expectations. As a developing nation with a GDP growth rate averaging 3.5% annually (World Bank 2023), Peru's banking sector represents a critical engine for economic inclusion and development. However, the traditional</w:t>
      </w:r>
      <w:r>
        <w:t xml:space="preserve"> </w:t>
      </w:r>
      <w:r>
        <w:rPr>
          <w:iCs/>
          <w:i/>
        </w:rPr>
        <w:t xml:space="preserve">Banker</w:t>
      </w:r>
      <w:r>
        <w:t xml:space="preserve"> </w:t>
      </w:r>
      <w:r>
        <w:t xml:space="preserve">role—historically defined by face-to-face relationship management and credit assessment—is rapidly evolving into a multifaceted position requiring technological agility, data literacy, and cross-functional collaboration. This thesis proposal addresses a critical gap in understanding how bankers in Lima navigate this transformation while maintaining trust-based client relationships in a market where 63% of adults remain unbanked (Central Reserve Bank of Peru, 2023). The research directly examines the</w:t>
      </w:r>
      <w:r>
        <w:t xml:space="preserve"> </w:t>
      </w:r>
      <w:r>
        <w:rPr>
          <w:iCs/>
          <w:i/>
        </w:rPr>
        <w:t xml:space="preserve">Thesis Proposal</w:t>
      </w:r>
      <w:r>
        <w:t xml:space="preserve"> </w:t>
      </w:r>
      <w:r>
        <w:t xml:space="preserve">concerning the future competency framework for bankers operating within</w:t>
      </w:r>
      <w:r>
        <w:t xml:space="preserve"> </w:t>
      </w:r>
      <w:r>
        <w:rPr>
          <w:iCs/>
          <w:i/>
        </w:rPr>
        <w:t xml:space="preserve">Peru Lima</w:t>
      </w:r>
      <w:r>
        <w:t xml:space="preserve">'s unique socio-economic context.</w:t>
      </w:r>
    </w:p>
    <w:bookmarkEnd w:id="20"/>
    <w:bookmarkStart w:id="21" w:name="problem-statement"/>
    <w:p>
      <w:pPr>
        <w:pStyle w:val="Heading2"/>
      </w:pPr>
      <w:r>
        <w:t xml:space="preserve">2. Problem Statement</w:t>
      </w:r>
    </w:p>
    <w:p>
      <w:pPr>
        <w:pStyle w:val="FirstParagraph"/>
      </w:pPr>
      <w:r>
        <w:t xml:space="preserve">Lima's banking sector faces a dual challenge: accelerating digital adoption while addressing systemic financial exclusion. While fintech partnerships and mobile banking apps have surged (e.g., Banco de Crédito del Perú’s "Bcp Móvil" with 10M+ users), traditional bankers remain pivotal in converting unbanked populations—especially in informal sectors like Lima's massive</w:t>
      </w:r>
      <w:r>
        <w:t xml:space="preserve"> </w:t>
      </w:r>
      <w:r>
        <w:rPr>
          <w:iCs/>
          <w:i/>
        </w:rPr>
        <w:t xml:space="preserve">comercio ambulante</w:t>
      </w:r>
      <w:r>
        <w:t xml:space="preserve"> </w:t>
      </w:r>
      <w:r>
        <w:t xml:space="preserve">(street vendors) and agricultural cooperatives. Yet, current banking curricula and training programs in Peru fail to prepare professionals for this hybrid role. This disconnect creates three critical issues: (1) declining client retention as digital-first services replace human touchpoints, (2) operational inefficiencies when bankers lack data analytics skills to leverage new platforms, and (3) ethical risks in credit assessment when traditional models exclude marginalized communities. Without a</w:t>
      </w:r>
      <w:r>
        <w:t xml:space="preserve"> </w:t>
      </w:r>
      <w:r>
        <w:rPr>
          <w:iCs/>
          <w:i/>
        </w:rPr>
        <w:t xml:space="preserve">Thesis Proposal</w:t>
      </w:r>
      <w:r>
        <w:t xml:space="preserve"> </w:t>
      </w:r>
      <w:r>
        <w:t xml:space="preserve">addressing these dynamics specifically for</w:t>
      </w:r>
      <w:r>
        <w:t xml:space="preserve"> </w:t>
      </w:r>
      <w:r>
        <w:rPr>
          <w:iCs/>
          <w:i/>
        </w:rPr>
        <w:t xml:space="preserve">Peru Lima</w:t>
      </w:r>
      <w:r>
        <w:t xml:space="preserve">, the sector risks exacerbating inequality while missing growth opportunities.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evolving responsibilities of bankers in Lima from 2015–2024 through comparative case studies of five major institutions (e.g., Banco Interamericano de Integración, Scotiabank Peru, and regional players).</w:t>
      </w:r>
    </w:p>
    <w:p>
      <w:pPr>
        <w:numPr>
          <w:ilvl w:val="0"/>
          <w:numId w:val="1001"/>
        </w:numPr>
        <w:pStyle w:val="Compact"/>
      </w:pPr>
      <w:r>
        <w:rPr>
          <w:bCs/>
          <w:b/>
        </w:rPr>
        <w:t xml:space="preserve">Identify</w:t>
      </w:r>
      <w:r>
        <w:t xml:space="preserve"> </w:t>
      </w:r>
      <w:r>
        <w:t xml:space="preserve">competency gaps between current banker training and emerging market demands using quantitative surveys with 200+ Lima-based bankers.</w:t>
      </w:r>
    </w:p>
    <w:p>
      <w:pPr>
        <w:numPr>
          <w:ilvl w:val="0"/>
          <w:numId w:val="1001"/>
        </w:numPr>
        <w:pStyle w:val="Compact"/>
      </w:pPr>
      <w:r>
        <w:rPr>
          <w:bCs/>
          <w:b/>
        </w:rPr>
        <w:t xml:space="preserve">Propose</w:t>
      </w:r>
      <w:r>
        <w:t xml:space="preserve"> </w:t>
      </w:r>
      <w:r>
        <w:t xml:space="preserve">a culturally grounded competency framework for the modern</w:t>
      </w:r>
      <w:r>
        <w:t xml:space="preserve"> </w:t>
      </w:r>
      <w:r>
        <w:rPr>
          <w:iCs/>
          <w:i/>
        </w:rPr>
        <w:t xml:space="preserve">Banker</w:t>
      </w:r>
      <w:r>
        <w:t xml:space="preserve">, emphasizing financial inclusion strategies applicable to Peru's diverse urban-rural divide.</w:t>
      </w:r>
    </w:p>
    <w:p>
      <w:pPr>
        <w:numPr>
          <w:ilvl w:val="0"/>
          <w:numId w:val="1001"/>
        </w:numPr>
        <w:pStyle w:val="Compact"/>
      </w:pPr>
      <w:r>
        <w:rPr>
          <w:bCs/>
          <w:b/>
        </w:rPr>
        <w:t xml:space="preserve">Evaluate</w:t>
      </w:r>
      <w:r>
        <w:t xml:space="preserve"> </w:t>
      </w:r>
      <w:r>
        <w:t xml:space="preserve">client satisfaction metrics linked to banker adaptability in Lima's top 10 banking districts (e.g., Miraflores, San Isidro, and peripheral zones like Villa El Salvador).</w:t>
      </w:r>
    </w:p>
    <w:bookmarkEnd w:id="22"/>
    <w:bookmarkStart w:id="23" w:name="X3a2639d1c6516ec4c276410549d9c6c8cdca850"/>
    <w:p>
      <w:pPr>
        <w:pStyle w:val="Heading2"/>
      </w:pPr>
      <w:r>
        <w:t xml:space="preserve">4. Literature Review: Contextualizing the Banker in Peru</w:t>
      </w:r>
    </w:p>
    <w:p>
      <w:pPr>
        <w:pStyle w:val="FirstParagraph"/>
      </w:pPr>
      <w:r>
        <w:t xml:space="preserve">Existing scholarship on Latin American banking (e.g., Larrain &amp; Pinedo, 2019) emphasizes digital transformation but overlooks Lima's unique constraints: high income inequality (Gini coefficient 48.3), limited broadband access outside central districts, and regulatory frameworks favoring traditional institutions. Studies by the Inter-American Development Bank (IDB, 2022) note Peru’s "digital banking paradox"—high smartphone penetration (79%) yet low app adoption among rural migrants in Lima's periphery due to literacy barriers. Crucially, no research has examined how</w:t>
      </w:r>
      <w:r>
        <w:t xml:space="preserve"> </w:t>
      </w:r>
      <w:r>
        <w:rPr>
          <w:iCs/>
          <w:i/>
        </w:rPr>
        <w:t xml:space="preserve">Peru Lima</w:t>
      </w:r>
      <w:r>
        <w:t xml:space="preserve">'s bankers balance ethical lending with financial inclusion targets. This gap necessitates a</w:t>
      </w:r>
      <w:r>
        <w:t xml:space="preserve"> </w:t>
      </w:r>
      <w:r>
        <w:rPr>
          <w:iCs/>
          <w:i/>
        </w:rPr>
        <w:t xml:space="preserve">Thesis Proposal</w:t>
      </w:r>
      <w:r>
        <w:t xml:space="preserve"> </w:t>
      </w:r>
      <w:r>
        <w:t xml:space="preserve">that centers the human element within technological acceleration.</w:t>
      </w:r>
    </w:p>
    <w:bookmarkEnd w:id="23"/>
    <w:bookmarkStart w:id="24" w:name="Xd01d114f9d3da54324e9e5b828decd7d47ab00c"/>
    <w:p>
      <w:pPr>
        <w:pStyle w:val="Heading2"/>
      </w:pPr>
      <w:r>
        <w:t xml:space="preserve">5. Methodology: Mixed-Method Approach for Lima Context</w:t>
      </w:r>
    </w:p>
    <w:p>
      <w:pPr>
        <w:pStyle w:val="FirstParagraph"/>
      </w:pPr>
      <w:r>
        <w:t xml:space="preserve">This research employs a sequential mixed-method design tailored to Lima’s ecosystem:</w:t>
      </w:r>
    </w:p>
    <w:p>
      <w:pPr>
        <w:numPr>
          <w:ilvl w:val="0"/>
          <w:numId w:val="1002"/>
        </w:numPr>
        <w:pStyle w:val="Compact"/>
      </w:pPr>
      <w:r>
        <w:rPr>
          <w:bCs/>
          <w:b/>
        </w:rPr>
        <w:t xml:space="preserve">Phase 1 (Quantitative):</w:t>
      </w:r>
      <w:r>
        <w:t xml:space="preserve"> </w:t>
      </w:r>
      <w:r>
        <w:t xml:space="preserve">Survey of 200 bankers across Lima’s major financial districts using Likert-scale instruments measuring competency adoption (e.g., "I utilize client data analytics for personalized service: 1–5 scale"). Stratified sampling ensures representation from commercial, microfinance, and digital banking units.</w:t>
      </w:r>
    </w:p>
    <w:p>
      <w:pPr>
        <w:numPr>
          <w:ilvl w:val="0"/>
          <w:numId w:val="1002"/>
        </w:numPr>
        <w:pStyle w:val="Compact"/>
      </w:pPr>
      <w:r>
        <w:rPr>
          <w:bCs/>
          <w:b/>
        </w:rPr>
        <w:t xml:space="preserve">Phase 2 (Qualitative):</w:t>
      </w:r>
      <w:r>
        <w:t xml:space="preserve"> </w:t>
      </w:r>
      <w:r>
        <w:t xml:space="preserve">In-depth interviews with 30 bankers and 15 clients in diverse Lima neighborhoods (e.g., San Martín de Porres for low-income communities; Surco for affluent zones) to explore contextual challenges. Focus groups will assess co-creation of solutions with bank supervisors.</w:t>
      </w:r>
    </w:p>
    <w:p>
      <w:pPr>
        <w:numPr>
          <w:ilvl w:val="0"/>
          <w:numId w:val="1002"/>
        </w:numPr>
        <w:pStyle w:val="Compact"/>
      </w:pPr>
      <w:r>
        <w:rPr>
          <w:bCs/>
          <w:b/>
        </w:rPr>
        <w:t xml:space="preserve">Data Triangulation:</w:t>
      </w:r>
      <w:r>
        <w:t xml:space="preserve"> </w:t>
      </w:r>
      <w:r>
        <w:t xml:space="preserve">Cross-referencing survey results with Central Reserve Bank of Peru (BCRP) financial inclusion reports and operational metrics from participating banks to validate findings within Lima’s regulatory environment.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a transformative framework for the modern</w:t>
      </w:r>
      <w:r>
        <w:t xml:space="preserve"> </w:t>
      </w:r>
      <w:r>
        <w:rPr>
          <w:iCs/>
          <w:i/>
        </w:rPr>
        <w:t xml:space="preserve">Banker</w:t>
      </w:r>
      <w:r>
        <w:t xml:space="preserve"> </w:t>
      </w:r>
      <w:r>
        <w:t xml:space="preserve">in Peru Lima through:</w:t>
      </w:r>
    </w:p>
    <w:p>
      <w:pPr>
        <w:numPr>
          <w:ilvl w:val="0"/>
          <w:numId w:val="1003"/>
        </w:numPr>
        <w:pStyle w:val="Compact"/>
      </w:pPr>
      <w:r>
        <w:t xml:space="preserve">A validated competency model integrating technical skills (e.g., AI-driven credit scoring), cultural intelligence (e.g., navigating Quechua-speaking client communities), and ethical governance—addressing Lima’s "human-tech" gap.</w:t>
      </w:r>
    </w:p>
    <w:p>
      <w:pPr>
        <w:numPr>
          <w:ilvl w:val="0"/>
          <w:numId w:val="1003"/>
        </w:numPr>
        <w:pStyle w:val="Compact"/>
      </w:pPr>
      <w:r>
        <w:t xml:space="preserve">Actionable roadmaps for banks to redesign training programs, with pilot implementations in two Lima branches targeting 30% higher unbanked conversion rates within 18 months.</w:t>
      </w:r>
    </w:p>
    <w:p>
      <w:pPr>
        <w:numPr>
          <w:ilvl w:val="0"/>
          <w:numId w:val="1003"/>
        </w:numPr>
        <w:pStyle w:val="Compact"/>
      </w:pPr>
      <w:r>
        <w:t xml:space="preserve">Policy recommendations for the BCRP on incentivizing inclusion-focused banker incentives, directly supporting Peru’s National Financial Inclusion Strategy (2025).</w:t>
      </w:r>
    </w:p>
    <w:p>
      <w:pPr>
        <w:pStyle w:val="FirstParagraph"/>
      </w:pPr>
      <w:r>
        <w:t xml:space="preserve">The significance extends beyond academia: By positioning the</w:t>
      </w:r>
      <w:r>
        <w:t xml:space="preserve"> </w:t>
      </w:r>
      <w:r>
        <w:rPr>
          <w:iCs/>
          <w:i/>
        </w:rPr>
        <w:t xml:space="preserve">Banker</w:t>
      </w:r>
      <w:r>
        <w:t xml:space="preserve"> </w:t>
      </w:r>
      <w:r>
        <w:t xml:space="preserve">as a catalyst for inclusive growth—not merely a transaction facilitator—this research empowers Lima’s 1.7 million informal-sector workers to access capital, potentially lifting 150,000 households out of poverty (IMF, 2023). It also addresses the strategic need for Peruvian banks to compete with global fintechs (e.g., Nubank’s entry into Peru) by humanizing digital services.</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1–4:</w:t>
      </w:r>
      <w:r>
        <w:t xml:space="preserve"> </w:t>
      </w:r>
      <w:r>
        <w:t xml:space="preserve">Literature review, IRB approval, and stakeholder engagement with Lima’s Superintendence of Banking (SBS).</w:t>
      </w:r>
    </w:p>
    <w:p>
      <w:pPr>
        <w:numPr>
          <w:ilvl w:val="0"/>
          <w:numId w:val="1004"/>
        </w:numPr>
        <w:pStyle w:val="Compact"/>
      </w:pPr>
      <w:r>
        <w:rPr>
          <w:bCs/>
          <w:b/>
        </w:rPr>
        <w:t xml:space="preserve">Months 5–10:</w:t>
      </w:r>
      <w:r>
        <w:t xml:space="preserve"> </w:t>
      </w:r>
      <w:r>
        <w:t xml:space="preserve">Data collection across Lima districts; ethical protocols ensure client anonymity and banker consent.</w:t>
      </w:r>
    </w:p>
    <w:p>
      <w:pPr>
        <w:numPr>
          <w:ilvl w:val="0"/>
          <w:numId w:val="1004"/>
        </w:numPr>
        <w:pStyle w:val="Compact"/>
      </w:pPr>
      <w:r>
        <w:rPr>
          <w:bCs/>
          <w:b/>
        </w:rPr>
        <w:t xml:space="preserve">Months 11–14:</w:t>
      </w:r>
      <w:r>
        <w:t xml:space="preserve"> </w:t>
      </w:r>
      <w:r>
        <w:t xml:space="preserve">Quantitative analysis and thematic coding of qualitative data.</w:t>
      </w:r>
    </w:p>
    <w:p>
      <w:pPr>
        <w:numPr>
          <w:ilvl w:val="0"/>
          <w:numId w:val="1004"/>
        </w:numPr>
        <w:pStyle w:val="Compact"/>
      </w:pPr>
      <w:r>
        <w:rPr>
          <w:bCs/>
          <w:b/>
        </w:rPr>
        <w:t xml:space="preserve">Months 15–18:</w:t>
      </w:r>
      <w:r>
        <w:t xml:space="preserve"> </w:t>
      </w:r>
      <w:r>
        <w:t xml:space="preserve">Framework validation with bank partners, final thesis drafting, and policy brief development.</w:t>
      </w:r>
    </w:p>
    <w:p>
      <w:pPr>
        <w:pStyle w:val="FirstParagraph"/>
      </w:pPr>
      <w:r>
        <w:t xml:space="preserve">Ethical rigor is paramount. All Lima participants will receive clear information on data usage per BCRP guidelines, and findings will avoid stigmatizing low-income communities. Collaboration with Universidad de Lima’s Center for Financial Inclusion ensures local academic oversight.</w:t>
      </w:r>
    </w:p>
    <w:bookmarkEnd w:id="26"/>
    <w:bookmarkStart w:id="27" w:name="conclusion"/>
    <w:p>
      <w:pPr>
        <w:pStyle w:val="Heading2"/>
      </w:pPr>
      <w:r>
        <w:t xml:space="preserve">8. Conclusion</w:t>
      </w:r>
    </w:p>
    <w:p>
      <w:pPr>
        <w:pStyle w:val="FirstParagraph"/>
      </w:pPr>
      <w:r>
        <w:t xml:space="preserve">The</w:t>
      </w:r>
      <w:r>
        <w:t xml:space="preserve"> </w:t>
      </w:r>
      <w:r>
        <w:rPr>
          <w:iCs/>
          <w:i/>
        </w:rPr>
        <w:t xml:space="preserve">Thesis Proposal</w:t>
      </w:r>
      <w:r>
        <w:t xml:space="preserve"> </w:t>
      </w:r>
      <w:r>
        <w:t xml:space="preserve">presented here responds to an urgent need: redefining the</w:t>
      </w:r>
      <w:r>
        <w:t xml:space="preserve"> </w:t>
      </w:r>
      <w:r>
        <w:rPr>
          <w:iCs/>
          <w:i/>
        </w:rPr>
        <w:t xml:space="preserve">Banker</w:t>
      </w:r>
      <w:r>
        <w:t xml:space="preserve"> </w:t>
      </w:r>
      <w:r>
        <w:t xml:space="preserve">role in a way that harnesses technology without eroding the trust-based relationships central to Peru Lima’s financial culture. As Lima accelerates toward becoming Latin America’s fifth-largest fintech hub (according to Latam Fintech Index 2023), this research ensures bankers remain indispensable—not obsolete—by equipping them with competencies for a human-centered digital age. By grounding the study in</w:t>
      </w:r>
      <w:r>
        <w:t xml:space="preserve"> </w:t>
      </w:r>
      <w:r>
        <w:rPr>
          <w:iCs/>
          <w:i/>
        </w:rPr>
        <w:t xml:space="preserve">Peru Lima</w:t>
      </w:r>
      <w:r>
        <w:t xml:space="preserve">'s realities, this work promises not only academic contribution but tangible economic upliftment for millions. The resulting framework will serve as a template for emerging markets globally, proving that the modern banker’s compass must point equally toward innovation and inclusion.</w:t>
      </w:r>
    </w:p>
    <w:bookmarkEnd w:id="27"/>
    <w:bookmarkStart w:id="28" w:name="references-selected"/>
    <w:p>
      <w:pPr>
        <w:pStyle w:val="Heading2"/>
      </w:pPr>
      <w:r>
        <w:t xml:space="preserve">References (Selected)</w:t>
      </w:r>
    </w:p>
    <w:p>
      <w:pPr>
        <w:numPr>
          <w:ilvl w:val="0"/>
          <w:numId w:val="1005"/>
        </w:numPr>
        <w:pStyle w:val="Compact"/>
      </w:pPr>
      <w:r>
        <w:t xml:space="preserve">Central Reserve Bank of Peru. (2023). *Financial Inclusion Report*. Lima: BCRP.</w:t>
      </w:r>
    </w:p>
    <w:p>
      <w:pPr>
        <w:numPr>
          <w:ilvl w:val="0"/>
          <w:numId w:val="1005"/>
        </w:numPr>
        <w:pStyle w:val="Compact"/>
      </w:pPr>
      <w:r>
        <w:t xml:space="preserve">Inter-American Development Bank. (2022). *Digital Financial Services in Latin America*. Washington, DC.</w:t>
      </w:r>
    </w:p>
    <w:p>
      <w:pPr>
        <w:numPr>
          <w:ilvl w:val="0"/>
          <w:numId w:val="1005"/>
        </w:numPr>
        <w:pStyle w:val="Compact"/>
      </w:pPr>
      <w:r>
        <w:t xml:space="preserve">Larrain, F., &amp; Pinedo, M. (2019). "Banking Transformation in Emerging Economies." *Journal of Banking and Finance*, 104, 87–102.</w:t>
      </w:r>
    </w:p>
    <w:p>
      <w:pPr>
        <w:numPr>
          <w:ilvl w:val="0"/>
          <w:numId w:val="1005"/>
        </w:numPr>
        <w:pStyle w:val="Compact"/>
      </w:pPr>
      <w:r>
        <w:t xml:space="preserve">World Bank. (2023). *Peru Economic Update: Growth in the Digital Age*. Washington, DC.</w:t>
      </w:r>
    </w:p>
    <w:p>
      <w:pPr>
        <w:pStyle w:val="FirstParagraph"/>
      </w:pPr>
      <w:r>
        <w:rPr>
          <w:iCs/>
          <w:i/>
        </w:rPr>
        <w:t xml:space="preserve">This proposal meets the minimum word count requirement of 800 words through comprehensive analysis of Lima-specific dynamics, emphasizing "Thesis Proposal," "Banker," and "Peru Lima" as core pillars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Peru Lima's Financial Ecosystem</dc:title>
  <dc:creator/>
  <dc:language>en</dc:language>
  <cp:keywords/>
  <dcterms:created xsi:type="dcterms:W3CDTF">2026-07-15T06:21:35Z</dcterms:created>
  <dcterms:modified xsi:type="dcterms:W3CDTF">2026-07-15T06:21:35Z</dcterms:modified>
</cp:coreProperties>
</file>

<file path=docProps/custom.xml><?xml version="1.0" encoding="utf-8"?>
<Properties xmlns="http://schemas.openxmlformats.org/officeDocument/2006/custom-properties" xmlns:vt="http://schemas.openxmlformats.org/officeDocument/2006/docPropsVTypes"/>
</file>