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Qatar</w:t>
      </w:r>
      <w:r>
        <w:t xml:space="preserve"> </w:t>
      </w:r>
      <w:r>
        <w:t xml:space="preserve">Doha's</w:t>
      </w:r>
      <w:r>
        <w:t xml:space="preserve"> </w:t>
      </w:r>
      <w:r>
        <w:t xml:space="preserve">Financial</w:t>
      </w:r>
      <w:r>
        <w:t xml:space="preserve"> </w:t>
      </w:r>
      <w:r>
        <w:t xml:space="preserve">Ecosystem</w:t>
      </w:r>
    </w:p>
    <w:bookmarkStart w:id="29" w:name="X33d7cb31267a9e7d1eeacfc3dde11213c95656a"/>
    <w:p>
      <w:pPr>
        <w:pStyle w:val="Heading1"/>
      </w:pPr>
      <w:r>
        <w:t xml:space="preserve">Thesis Proposal: The Evolving Role of Bankers in Qatar Doha's Financial Ecosystem</w:t>
      </w:r>
    </w:p>
    <w:bookmarkStart w:id="20" w:name="introduction-and-problem-statement"/>
    <w:p>
      <w:pPr>
        <w:pStyle w:val="Heading2"/>
      </w:pPr>
      <w:r>
        <w:t xml:space="preserve">1. Introduction and Problem Statement</w:t>
      </w:r>
    </w:p>
    <w:p>
      <w:pPr>
        <w:pStyle w:val="FirstParagraph"/>
      </w:pPr>
      <w:r>
        <w:t xml:space="preserve">The financial sector in Qatar Doha stands at a pivotal juncture, driven by National Vision 2030's diversification goals and rapid economic transformation. As the Gulf's most dynamic banking hub, Doha hosts over 40 international banks and numerous local institutions serving a cosmopolitan population of 2.5 million. However, this growth presents unprecedented challenges for the modern</w:t>
      </w:r>
      <w:r>
        <w:t xml:space="preserve"> </w:t>
      </w:r>
      <w:r>
        <w:rPr>
          <w:bCs/>
          <w:b/>
        </w:rPr>
        <w:t xml:space="preserve">Banker</w:t>
      </w:r>
      <w:r>
        <w:t xml:space="preserve"> </w:t>
      </w:r>
      <w:r>
        <w:t xml:space="preserve">navigating complex regulatory landscapes, digital disruption, and cultural nuances in a high-stakes environment. This thesis addresses a critical gap: the lack of comprehensive research on how contemporary</w:t>
      </w:r>
      <w:r>
        <w:t xml:space="preserve"> </w:t>
      </w:r>
      <w:r>
        <w:rPr>
          <w:bCs/>
          <w:b/>
        </w:rPr>
        <w:t xml:space="preserve">Banker</w:t>
      </w:r>
      <w:r>
        <w:t xml:space="preserve">s in Qatar Doha are adapting their roles to meet evolving client expectations while balancing Sharia-compliant frameworks with global financial standards. Without understanding these transformations, Qatar's ambition to become a regional financial center remains at risk.</w:t>
      </w:r>
    </w:p>
    <w:bookmarkEnd w:id="20"/>
    <w:bookmarkStart w:id="21" w:name="research-objectives"/>
    <w:p>
      <w:pPr>
        <w:pStyle w:val="Heading2"/>
      </w:pPr>
      <w:r>
        <w:t xml:space="preserve">2. Research Objectives</w:t>
      </w:r>
    </w:p>
    <w:p>
      <w:pPr>
        <w:numPr>
          <w:ilvl w:val="0"/>
          <w:numId w:val="1001"/>
        </w:numPr>
        <w:pStyle w:val="Compact"/>
      </w:pPr>
      <w:r>
        <w:t xml:space="preserve">To analyze the shifting responsibilities of bankers in Doha's banking sector (2018-2024), particularly regarding digital transformation and Islamic finance integration.</w:t>
      </w:r>
    </w:p>
    <w:p>
      <w:pPr>
        <w:numPr>
          <w:ilvl w:val="0"/>
          <w:numId w:val="1001"/>
        </w:numPr>
        <w:pStyle w:val="Compact"/>
      </w:pPr>
      <w:r>
        <w:t xml:space="preserve">To identify critical skill gaps among Qatar-based bankers through primary stakeholder interviews with 30+ senior banking professionals.</w:t>
      </w:r>
    </w:p>
    <w:p>
      <w:pPr>
        <w:numPr>
          <w:ilvl w:val="0"/>
          <w:numId w:val="1001"/>
        </w:numPr>
        <w:pStyle w:val="Compact"/>
      </w:pPr>
      <w:r>
        <w:t xml:space="preserve">To develop a culturally contextualized competency framework for future bankers operating within Qatar Doha's unique economic and social ecosystem.</w:t>
      </w:r>
    </w:p>
    <w:p>
      <w:pPr>
        <w:numPr>
          <w:ilvl w:val="0"/>
          <w:numId w:val="1001"/>
        </w:numPr>
        <w:pStyle w:val="Compact"/>
      </w:pPr>
      <w:r>
        <w:t xml:space="preserve">To propose strategic recommendations for banking institutions to optimize their human capital development in line with Qatar's financial sovereignty goals.</w:t>
      </w:r>
    </w:p>
    <w:bookmarkEnd w:id="21"/>
    <w:bookmarkStart w:id="22" w:name="X9f4c95b6817aba8c36781233e2a5d64952350d9"/>
    <w:p>
      <w:pPr>
        <w:pStyle w:val="Heading2"/>
      </w:pPr>
      <w:r>
        <w:t xml:space="preserve">3. Literature Review: Contextualizing the Banking Landscape</w:t>
      </w:r>
    </w:p>
    <w:p>
      <w:pPr>
        <w:pStyle w:val="FirstParagraph"/>
      </w:pPr>
      <w:r>
        <w:t xml:space="preserve">Existing research (Al-Suwaidi &amp; Al-Hajri, 2021; IMF, 2023) acknowledges Qatar's banking sector growth but overlooks the human element—the</w:t>
      </w:r>
      <w:r>
        <w:t xml:space="preserve"> </w:t>
      </w:r>
      <w:r>
        <w:rPr>
          <w:bCs/>
          <w:b/>
        </w:rPr>
        <w:t xml:space="preserve">Banker</w:t>
      </w:r>
      <w:r>
        <w:t xml:space="preserve">'s lived experience. While studies on Islamic finance (Mehran et al., 2020) and Doha's financial corridors (Qatar Central Bank, 2022) exist, they fail to examine how individual bankers negotiate dual compliance systems or serve diverse clientele from 150+ nationalities. This thesis bridges this gap by centering the</w:t>
      </w:r>
      <w:r>
        <w:t xml:space="preserve"> </w:t>
      </w:r>
      <w:r>
        <w:rPr>
          <w:bCs/>
          <w:b/>
        </w:rPr>
        <w:t xml:space="preserve">Banker</w:t>
      </w:r>
      <w:r>
        <w:t xml:space="preserve"> </w:t>
      </w:r>
      <w:r>
        <w:t xml:space="preserve">as the operational nexus between institutional strategy and market realities in Qatar Doha. Crucially, it addresses a void identified by QFC Authority reports noting "insufficient talent pipeline for specialized banking roles in emerging markets."</w:t>
      </w:r>
    </w:p>
    <w:bookmarkEnd w:id="22"/>
    <w:bookmarkStart w:id="23" w:name="X5f2da1539b6b38f51e286a5bd5e0b1069b822a0"/>
    <w:p>
      <w:pPr>
        <w:pStyle w:val="Heading2"/>
      </w:pPr>
      <w:r>
        <w:t xml:space="preserve">4. Methodology: Mixed-Approach Research Design</w:t>
      </w:r>
    </w:p>
    <w:p>
      <w:pPr>
        <w:pStyle w:val="FirstParagraph"/>
      </w:pPr>
      <w:r>
        <w:t xml:space="preserve">This research employs a sequential explanatory mixed-methods design:</w:t>
      </w:r>
    </w:p>
    <w:p>
      <w:pPr>
        <w:numPr>
          <w:ilvl w:val="0"/>
          <w:numId w:val="1002"/>
        </w:numPr>
        <w:pStyle w:val="Compact"/>
      </w:pPr>
      <w:r>
        <w:rPr>
          <w:bCs/>
          <w:b/>
        </w:rPr>
        <w:t xml:space="preserve">Phase 1 (Quantitative):</w:t>
      </w:r>
      <w:r>
        <w:t xml:space="preserve"> </w:t>
      </w:r>
      <w:r>
        <w:t xml:space="preserve">Survey of 150+ bankers across Doha's top 10 banks using Likert-scale instruments assessing skill relevance, regulatory challenges, and technological adaptation. Targeting roles from relationship managers to chief compliance officers.</w:t>
      </w:r>
    </w:p>
    <w:p>
      <w:pPr>
        <w:numPr>
          <w:ilvl w:val="0"/>
          <w:numId w:val="1002"/>
        </w:numPr>
        <w:pStyle w:val="Compact"/>
      </w:pPr>
      <w:r>
        <w:rPr>
          <w:bCs/>
          <w:b/>
        </w:rPr>
        <w:t xml:space="preserve">Phase 2 (Qualitative):</w:t>
      </w:r>
      <w:r>
        <w:t xml:space="preserve"> </w:t>
      </w:r>
      <w:r>
        <w:t xml:space="preserve">In-depth interviews with 30 strategic decision-makers (including C-suite executives at Qatar National Bank, QInvest, and regional Islamic banks) exploring institutional barriers and success stories.</w:t>
      </w:r>
    </w:p>
    <w:p>
      <w:pPr>
        <w:numPr>
          <w:ilvl w:val="0"/>
          <w:numId w:val="1002"/>
        </w:numPr>
        <w:pStyle w:val="Compact"/>
      </w:pPr>
      <w:r>
        <w:rPr>
          <w:bCs/>
          <w:b/>
        </w:rPr>
        <w:t xml:space="preserve">Phase 3 (Triangulation):</w:t>
      </w:r>
      <w:r>
        <w:t xml:space="preserve"> </w:t>
      </w:r>
      <w:r>
        <w:t xml:space="preserve">Workshop with the Qatar Financial Centre Academy to validate findings against industry training curricula.</w:t>
      </w:r>
    </w:p>
    <w:p>
      <w:pPr>
        <w:pStyle w:val="FirstParagraph"/>
      </w:pPr>
      <w:r>
        <w:t xml:space="preserve">Data analysis will employ NVivo for thematic coding of interview transcripts and SPSS for survey correlations. Ethical approval will be secured through Hamad Bin Khalifa University's IRB, prioritizing confidentiality given Qatar Doha's tight-knit professional networks.</w:t>
      </w:r>
    </w:p>
    <w:bookmarkEnd w:id="23"/>
    <w:bookmarkStart w:id="24" w:name="X2aa3197eac528c7e249cc5f1fbc73acdb40fbf3"/>
    <w:p>
      <w:pPr>
        <w:pStyle w:val="Heading2"/>
      </w:pPr>
      <w:r>
        <w:t xml:space="preserve">5. Significance: Why This Research Matters in Qatar Doha</w:t>
      </w:r>
    </w:p>
    <w:p>
      <w:pPr>
        <w:pStyle w:val="FirstParagraph"/>
      </w:pPr>
      <w:r>
        <w:t xml:space="preserve">This study directly supports Qatar National Vision 2030 by addressing critical workforce development needs identified in the "Qatar Financial Sector Strategy 2030." For the first time, it provides empirical evidence on how bankers navigate:</w:t>
      </w:r>
    </w:p>
    <w:p>
      <w:pPr>
        <w:numPr>
          <w:ilvl w:val="0"/>
          <w:numId w:val="1003"/>
        </w:numPr>
        <w:pStyle w:val="Compact"/>
      </w:pPr>
      <w:r>
        <w:t xml:space="preserve">The intersection of Sharia principles and fintech innovation (e.g., blockchain-based sukuk platforms)</w:t>
      </w:r>
    </w:p>
    <w:p>
      <w:pPr>
        <w:numPr>
          <w:ilvl w:val="0"/>
          <w:numId w:val="1003"/>
        </w:numPr>
        <w:pStyle w:val="Compact"/>
      </w:pPr>
      <w:r>
        <w:t xml:space="preserve">Regulatory complexities under Qatar Central Bank's evolving digital banking framework</w:t>
      </w:r>
    </w:p>
    <w:p>
      <w:pPr>
        <w:pStyle w:val="FirstParagraph"/>
      </w:pPr>
      <w:r>
        <w:t xml:space="preserve">Results will empower institutions like QInvest and Ooredoo Finance to redesign training programs. More significantly, the proposed competency model will inform Qatar University's Banking &amp; Finance curriculum, ensuring graduates possess Doha-specific skills—closing the gap between academic theory and on-ground banking realities. The</w:t>
      </w:r>
      <w:r>
        <w:t xml:space="preserve"> </w:t>
      </w:r>
      <w:r>
        <w:rPr>
          <w:bCs/>
          <w:b/>
        </w:rPr>
        <w:t xml:space="preserve">Banker</w:t>
      </w:r>
      <w:r>
        <w:t xml:space="preserve"> </w:t>
      </w:r>
      <w:r>
        <w:t xml:space="preserve">is not merely a service provider but a pivotal agent of Qatar's economic transition.</w:t>
      </w:r>
    </w:p>
    <w:bookmarkEnd w:id="24"/>
    <w:bookmarkStart w:id="25" w:name="X7e88fa51fa43ee3e72d47b77e208757986133f3"/>
    <w:p>
      <w:pPr>
        <w:pStyle w:val="Heading2"/>
      </w:pPr>
      <w:r>
        <w:t xml:space="preserve">6. Expected Outcomes and Contribution to Knowledge</w:t>
      </w:r>
    </w:p>
    <w:p>
      <w:pPr>
        <w:pStyle w:val="FirstParagraph"/>
      </w:pPr>
      <w:r>
        <w:t xml:space="preserve">We anticipate three transformative outcomes:</w:t>
      </w:r>
    </w:p>
    <w:p>
      <w:pPr>
        <w:numPr>
          <w:ilvl w:val="0"/>
          <w:numId w:val="1004"/>
        </w:numPr>
        <w:pStyle w:val="Compact"/>
      </w:pPr>
      <w:r>
        <w:t xml:space="preserve">A validated 5-tier competency framework for Doha-based bankers (e.g., "Sharia-Fintech Integration," "Multicultural Client Stewardship"), surpassing generic global models.</w:t>
      </w:r>
    </w:p>
    <w:p>
      <w:pPr>
        <w:numPr>
          <w:ilvl w:val="0"/>
          <w:numId w:val="1004"/>
        </w:numPr>
        <w:pStyle w:val="Compact"/>
      </w:pPr>
      <w:r>
        <w:t xml:space="preserve">Policy briefs for Qatar Central Bank on talent development incentives, such as specialized certification pathways aligned with national economic priorities.</w:t>
      </w:r>
    </w:p>
    <w:p>
      <w:pPr>
        <w:numPr>
          <w:ilvl w:val="0"/>
          <w:numId w:val="1004"/>
        </w:numPr>
        <w:pStyle w:val="Compact"/>
      </w:pPr>
      <w:r>
        <w:t xml:space="preserve">A predictive model identifying which banking roles face highest skill obsolescence by 2027 due to AI adoption in Doha's branchless banking expansion.</w:t>
      </w:r>
    </w:p>
    <w:p>
      <w:pPr>
        <w:pStyle w:val="FirstParagraph"/>
      </w:pPr>
      <w:r>
        <w:t xml:space="preserve">Academically, this work challenges the Western-centric bias in financial management literature. By centering Qatar Doha as the primary case study, it establishes a new benchmark for researching banking professionalism in emerging Gulf economies—a context previously studied through lenses of oil dependence rather than active financial innovation.</w:t>
      </w:r>
    </w:p>
    <w:bookmarkEnd w:id="25"/>
    <w:bookmarkStart w:id="26" w:name="timeline-and-resources"/>
    <w:p>
      <w:pPr>
        <w:pStyle w:val="Heading2"/>
      </w:pPr>
      <w:r>
        <w:t xml:space="preserve">7. Timeline and Resources</w:t>
      </w:r>
    </w:p>
    <w:p>
      <w:pPr>
        <w:pStyle w:val="FirstParagraph"/>
      </w:pPr>
      <w:r>
        <w:t xml:space="preserve">The 18-month research plan includes:</w:t>
      </w:r>
    </w:p>
    <w:p>
      <w:pPr>
        <w:numPr>
          <w:ilvl w:val="0"/>
          <w:numId w:val="1005"/>
        </w:numPr>
        <w:pStyle w:val="Compact"/>
      </w:pPr>
      <w:r>
        <w:rPr>
          <w:bCs/>
          <w:b/>
        </w:rPr>
        <w:t xml:space="preserve">Months 1-3:</w:t>
      </w:r>
      <w:r>
        <w:t xml:space="preserve"> </w:t>
      </w:r>
      <w:r>
        <w:t xml:space="preserve">Literature review and instrument design (with QCB stakeholder feedback)</w:t>
      </w:r>
    </w:p>
    <w:p>
      <w:pPr>
        <w:numPr>
          <w:ilvl w:val="0"/>
          <w:numId w:val="1005"/>
        </w:numPr>
        <w:pStyle w:val="Compact"/>
      </w:pPr>
      <w:r>
        <w:rPr>
          <w:bCs/>
          <w:b/>
        </w:rPr>
        <w:t xml:space="preserve">Months 4-9:</w:t>
      </w:r>
      <w:r>
        <w:t xml:space="preserve"> </w:t>
      </w:r>
      <w:r>
        <w:t xml:space="preserve">Data collection across Doha's banking cluster</w:t>
      </w:r>
    </w:p>
    <w:p>
      <w:pPr>
        <w:numPr>
          <w:ilvl w:val="0"/>
          <w:numId w:val="1005"/>
        </w:numPr>
        <w:pStyle w:val="Compact"/>
      </w:pPr>
      <w:r>
        <w:rPr>
          <w:bCs/>
          <w:b/>
        </w:rPr>
        <w:t xml:space="preserve">Months 10-15:</w:t>
      </w:r>
      <w:r>
        <w:t xml:space="preserve"> </w:t>
      </w:r>
      <w:r>
        <w:t xml:space="preserve">Analysis, framework development, and workshop validation</w:t>
      </w:r>
    </w:p>
    <w:p>
      <w:pPr>
        <w:numPr>
          <w:ilvl w:val="0"/>
          <w:numId w:val="1005"/>
        </w:numPr>
        <w:pStyle w:val="Compact"/>
      </w:pPr>
      <w:r>
        <w:rPr>
          <w:bCs/>
          <w:b/>
        </w:rPr>
        <w:t xml:space="preserve">Months 16-18:</w:t>
      </w:r>
      <w:r>
        <w:t xml:space="preserve"> </w:t>
      </w:r>
      <w:r>
        <w:t xml:space="preserve">Thesis drafting and institutional recommendations finalization</w:t>
      </w:r>
    </w:p>
    <w:p>
      <w:pPr>
        <w:pStyle w:val="FirstParagraph"/>
      </w:pPr>
      <w:r>
        <w:t xml:space="preserve">Required resources include access to the Qatar Financial Centre's professional network (secured via preliminary MoU), travel allowances for fieldwork in Doha's financial district, and university research computing support. Budget allocation prioritizes ethical compensation for interviewees—a critical consideration in Qatar Doha's high-value professional environment.</w:t>
      </w:r>
    </w:p>
    <w:bookmarkEnd w:id="26"/>
    <w:bookmarkStart w:id="28" w:name="conclusion"/>
    <w:p>
      <w:pPr>
        <w:pStyle w:val="Heading2"/>
      </w:pPr>
      <w:r>
        <w:t xml:space="preserve">8. Conclusion</w:t>
      </w:r>
    </w:p>
    <w:p>
      <w:pPr>
        <w:pStyle w:val="FirstParagraph"/>
      </w:pPr>
      <w:r>
        <w:t xml:space="preserve">In Qatar Doha's rapidly evolving financial landscape, the role of the</w:t>
      </w:r>
      <w:r>
        <w:t xml:space="preserve"> </w:t>
      </w:r>
      <w:r>
        <w:rPr>
          <w:bCs/>
          <w:b/>
        </w:rPr>
        <w:t xml:space="preserve">Banker</w:t>
      </w:r>
      <w:r>
        <w:t xml:space="preserve"> </w:t>
      </w:r>
      <w:r>
        <w:t xml:space="preserve">has transcended transactional service delivery to become a strategic catalyst for economic diversification. This thesis proposal outlines a rigorous investigation into how bankers navigate this transformation—from managing digital portfolios under QCB regulations to bridging cultural divides in a multicultural hub. By grounding findings exclusively within Doha's context, this research delivers actionable intelligence that will shape Qatar's financial talent ecosystem for decades. As the nation positions itself as a $100 billion financial hub by 2030, understanding the</w:t>
      </w:r>
      <w:r>
        <w:t xml:space="preserve"> </w:t>
      </w:r>
      <w:r>
        <w:rPr>
          <w:bCs/>
          <w:b/>
        </w:rPr>
        <w:t xml:space="preserve">Banker</w:t>
      </w:r>
      <w:r>
        <w:t xml:space="preserve">'s evolving identity is not academic—it is central to national economic sovereignty. This work promises to equip institutions, regulators, and aspiring bankers with the roadmap needed to thrive in Qatar Doha's next financial frontier.</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Qatar Doha's Financial Ecosystem</dc:title>
  <dc:creator/>
  <dc:language>en</dc:language>
  <cp:keywords/>
  <dcterms:created xsi:type="dcterms:W3CDTF">2026-07-15T08:35:35Z</dcterms:created>
  <dcterms:modified xsi:type="dcterms:W3CDTF">2026-07-15T08:35:35Z</dcterms:modified>
</cp:coreProperties>
</file>

<file path=docProps/custom.xml><?xml version="1.0" encoding="utf-8"?>
<Properties xmlns="http://schemas.openxmlformats.org/officeDocument/2006/custom-properties" xmlns:vt="http://schemas.openxmlformats.org/officeDocument/2006/docPropsVTypes"/>
</file>