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Evolving</w:t>
      </w:r>
      <w:r>
        <w:t xml:space="preserve"> </w:t>
      </w:r>
      <w:r>
        <w:t xml:space="preserve">Financial</w:t>
      </w:r>
      <w:r>
        <w:t xml:space="preserve"> </w:t>
      </w:r>
      <w:r>
        <w:t xml:space="preserve">Ecosystem</w:t>
      </w:r>
    </w:p>
    <w:bookmarkStart w:id="29" w:name="Xb4d743300e0fc35c157344dc209d4d25ce230d3"/>
    <w:p>
      <w:pPr>
        <w:pStyle w:val="Heading1"/>
      </w:pPr>
      <w:r>
        <w:t xml:space="preserve">Thesis Proposal: The Modern Banker in South Korea Seoul's Evolving Financial Ecosystem</w:t>
      </w:r>
    </w:p>
    <w:bookmarkStart w:id="20" w:name="introduction-and-background"/>
    <w:p>
      <w:pPr>
        <w:pStyle w:val="Heading2"/>
      </w:pPr>
      <w:r>
        <w:t xml:space="preserve">1. Introduction and Background</w:t>
      </w:r>
    </w:p>
    <w:p>
      <w:pPr>
        <w:pStyle w:val="FirstParagraph"/>
      </w:pPr>
      <w:r>
        <w:t xml:space="preserve">The financial sector of South Korea Seoul represents one of the most dynamic and technologically advanced banking landscapes in Asia. As the nation's economic engine, Seoul hosts headquarters for major banks like KB Kookmin Bank, Shinhan Bank, and Hana Bank, which collectively manage over 50% of South Korea's total banking assets. This Thesis Proposal examines the critical transformation of the</w:t>
      </w:r>
      <w:r>
        <w:t xml:space="preserve"> </w:t>
      </w:r>
      <w:r>
        <w:rPr>
          <w:bCs/>
          <w:b/>
        </w:rPr>
        <w:t xml:space="preserve">Banker</w:t>
      </w:r>
      <w:r>
        <w:t xml:space="preserve"> </w:t>
      </w:r>
      <w:r>
        <w:t xml:space="preserve">role within this high-stakes environment. The rapid digitalization accelerated by fintech disruption, stringent regulatory shifts (such as the Financial Services Commission's Digital Finance Framework), and shifting consumer expectations in South Korea Seoul demand a fundamental reevaluation of traditional banking functions. This research directly addresses an urgent industry gap: while global banking literature extensively covers Western markets, there remains a significant scarcity of context-specific studies analyzing how the</w:t>
      </w:r>
      <w:r>
        <w:t xml:space="preserve"> </w:t>
      </w:r>
      <w:r>
        <w:rPr>
          <w:bCs/>
          <w:b/>
        </w:rPr>
        <w:t xml:space="preserve">Banker</w:t>
      </w:r>
      <w:r>
        <w:t xml:space="preserve"> </w:t>
      </w:r>
      <w:r>
        <w:t xml:space="preserve">adapts to Seoul's unique socio-economic and technological ecosystem.</w:t>
      </w:r>
    </w:p>
    <w:bookmarkEnd w:id="20"/>
    <w:bookmarkStart w:id="21" w:name="problem-statement"/>
    <w:p>
      <w:pPr>
        <w:pStyle w:val="Heading2"/>
      </w:pPr>
      <w:r>
        <w:t xml:space="preserve">2. Problem Statement</w:t>
      </w:r>
    </w:p>
    <w:p>
      <w:pPr>
        <w:pStyle w:val="FirstParagraph"/>
      </w:pPr>
      <w:r>
        <w:t xml:space="preserve">In South Korea Seoul, the traditional roles of relationship managers and credit analysts are rapidly being augmented by AI-driven analytics, blockchain-based settlements, and embedded finance platforms. A 2023 Bank of Korea survey revealed that 68% of banking professionals in Seoul reported their core responsibilities had fundamentally changed within five years. Yet, academic research lags behind operational reality. Crucially, this</w:t>
      </w:r>
      <w:r>
        <w:t xml:space="preserve"> </w:t>
      </w:r>
      <w:r>
        <w:rPr>
          <w:bCs/>
          <w:b/>
        </w:rPr>
        <w:t xml:space="preserve">Thesis Proposal</w:t>
      </w:r>
      <w:r>
        <w:t xml:space="preserve"> </w:t>
      </w:r>
      <w:r>
        <w:t xml:space="preserve">identifies three interrelated challenges: (1) the skills gap between current banking curricula and Seoul's market demands; (2) inadequate frameworks for ethical AI integration in customer-facing banker roles; and (3) cultural nuances in client relationship management unique to South Korea Seoul's hierarchical business environment. Without addressing these, banks risk operational inefficiencies that could undermine South Korea's position as a top-10 global financial center.</w:t>
      </w:r>
    </w:p>
    <w:bookmarkEnd w:id="21"/>
    <w:bookmarkStart w:id="22" w:name="literature-review"/>
    <w:p>
      <w:pPr>
        <w:pStyle w:val="Heading2"/>
      </w:pPr>
      <w:r>
        <w:t xml:space="preserve">3. Literature Review</w:t>
      </w:r>
    </w:p>
    <w:p>
      <w:pPr>
        <w:pStyle w:val="FirstParagraph"/>
      </w:pPr>
      <w:r>
        <w:t xml:space="preserve">Existing scholarship predominantly focuses on Western banking models (e.g., Eurozone digital transformation studies by EBA, 2022) or China's fintech dominance. While Kim &amp; Lee (2021) explored South Korea's fintech adoption, their work neglected the human element—specifically how the</w:t>
      </w:r>
      <w:r>
        <w:t xml:space="preserve"> </w:t>
      </w:r>
      <w:r>
        <w:rPr>
          <w:bCs/>
          <w:b/>
        </w:rPr>
        <w:t xml:space="preserve">Banker</w:t>
      </w:r>
      <w:r>
        <w:t xml:space="preserve"> </w:t>
      </w:r>
      <w:r>
        <w:t xml:space="preserve">navigates technology-people dynamics in Seoul's high-pressure environment. Similarly, Park (2020) analyzed regulatory compliance but ignored the evolving emotional intelligence demands of Seoul-based bankers serving family-owned conglomerates (chaebols). This gap necessitates a study grounded in South Korea Seoul's context, where Confucian business ethics intersect with cutting-edge digital infrastructure—creating a unique professional landscape absent in global literature. Our research will synthesize these strands while centering the Seoul banker as both actor and subject.</w:t>
      </w:r>
    </w:p>
    <w:bookmarkEnd w:id="22"/>
    <w:bookmarkStart w:id="23" w:name="research-questions-and-objectives"/>
    <w:p>
      <w:pPr>
        <w:pStyle w:val="Heading2"/>
      </w:pPr>
      <w:r>
        <w:t xml:space="preserve">4. Research Questions and Objectives</w:t>
      </w:r>
    </w:p>
    <w:p>
      <w:pPr>
        <w:pStyle w:val="FirstParagraph"/>
      </w:pPr>
      <w:r>
        <w:t xml:space="preserve">This Thesis Proposal posits three core research questions:</w:t>
      </w:r>
    </w:p>
    <w:p>
      <w:pPr>
        <w:numPr>
          <w:ilvl w:val="0"/>
          <w:numId w:val="1001"/>
        </w:numPr>
        <w:pStyle w:val="Compact"/>
      </w:pPr>
      <w:r>
        <w:t xml:space="preserve">How do emerging technologies (AI, blockchain, open banking) reshape the daily responsibilities of a banker in South Korea Seoul compared to traditional roles?</w:t>
      </w:r>
    </w:p>
    <w:p>
      <w:pPr>
        <w:numPr>
          <w:ilvl w:val="0"/>
          <w:numId w:val="1001"/>
        </w:numPr>
        <w:pStyle w:val="Compact"/>
      </w:pPr>
      <w:r>
        <w:t xml:space="preserve">What institutional and cultural barriers hinder effective upskilling of bankers within Seoul's major financial institutions?</w:t>
      </w:r>
    </w:p>
    <w:p>
      <w:pPr>
        <w:numPr>
          <w:ilvl w:val="0"/>
          <w:numId w:val="1001"/>
        </w:numPr>
        <w:pStyle w:val="Compact"/>
      </w:pPr>
      <w:r>
        <w:t xml:space="preserve">To what extent does the South Korea Seoul market prioritize "human" banking services amid digitalization, and how do bankers navigate this tension?</w:t>
      </w:r>
    </w:p>
    <w:p>
      <w:pPr>
        <w:pStyle w:val="FirstParagraph"/>
      </w:pPr>
      <w:r>
        <w:t xml:space="preserve">The primary objectives are: (1) To map the evolving skill set required for a modern banker in Seoul; (2) To develop a culturally contextualized training framework addressing South Korea's specific regulatory and client expectations; (3) To propose an ethical AI integration model for customer-facing banking roles that aligns with Seoul's social values.</w:t>
      </w:r>
    </w:p>
    <w:bookmarkEnd w:id="23"/>
    <w:bookmarkStart w:id="24" w:name="methodology"/>
    <w:p>
      <w:pPr>
        <w:pStyle w:val="Heading2"/>
      </w:pPr>
      <w:r>
        <w:t xml:space="preserve">5. Methodology</w:t>
      </w:r>
    </w:p>
    <w:p>
      <w:pPr>
        <w:pStyle w:val="FirstParagraph"/>
      </w:pPr>
      <w:r>
        <w:t xml:space="preserve">This mixed-methods study will deploy three interconnected approaches in South Korea Seoul:</w:t>
      </w:r>
    </w:p>
    <w:p>
      <w:pPr>
        <w:numPr>
          <w:ilvl w:val="0"/>
          <w:numId w:val="1002"/>
        </w:numPr>
        <w:pStyle w:val="Compact"/>
      </w:pPr>
      <w:r>
        <w:rPr>
          <w:bCs/>
          <w:b/>
        </w:rPr>
        <w:t xml:space="preserve">Phase 1 (Qualitative):</w:t>
      </w:r>
      <w:r>
        <w:t xml:space="preserve"> </w:t>
      </w:r>
      <w:r>
        <w:t xml:space="preserve">In-depth interviews with 30 senior bankers across Seoul-based institutions (including top-5 commercial banks, fintech startups like Toss Bank, and regulatory bodies like FSC) to document role evolution. Participants will be selected for diversity in tenure (5–20 years), departmental roles, and institutional type.</w:t>
      </w:r>
    </w:p>
    <w:p>
      <w:pPr>
        <w:numPr>
          <w:ilvl w:val="0"/>
          <w:numId w:val="1002"/>
        </w:numPr>
        <w:pStyle w:val="Compact"/>
      </w:pPr>
      <w:r>
        <w:rPr>
          <w:bCs/>
          <w:b/>
        </w:rPr>
        <w:t xml:space="preserve">Phase 2 (Quantitative):</w:t>
      </w:r>
      <w:r>
        <w:t xml:space="preserve"> </w:t>
      </w:r>
      <w:r>
        <w:t xml:space="preserve">Survey of 300 mid-level bankers in Seoul measuring: current skill usage (e.g., AI tool proficiency, client communication depth), perceived challenges, and training satisfaction. Statistical analysis will identify correlations between institutional factors (e.g., bank size, fintech partnership) and role transformation.</w:t>
      </w:r>
    </w:p>
    <w:p>
      <w:pPr>
        <w:numPr>
          <w:ilvl w:val="0"/>
          <w:numId w:val="1002"/>
        </w:numPr>
        <w:pStyle w:val="Compact"/>
      </w:pPr>
      <w:r>
        <w:rPr>
          <w:bCs/>
          <w:b/>
        </w:rPr>
        <w:t xml:space="preserve">Phase 3 (Case Study):</w:t>
      </w:r>
      <w:r>
        <w:t xml:space="preserve"> </w:t>
      </w:r>
      <w:r>
        <w:t xml:space="preserve">Deep-dive analysis of Samsung Card’s "Digital Trust Banker" program—a Seoul-based initiative embedding AI tools while preserving human relationship management—to extract transferable best practices.</w:t>
      </w:r>
    </w:p>
    <w:p>
      <w:pPr>
        <w:pStyle w:val="FirstParagraph"/>
      </w:pPr>
      <w:r>
        <w:t xml:space="preserve">Data collection will occur in Seoul during Q1–Q3 2025, with IRB approval secured from Korea University. Analysis will employ NVivo for thematic coding (Phase 1) and SPSS for survey data (Phase 2), ensuring alignment with South Korea's data privacy laws.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academic, industry, and policy domains:</w:t>
      </w:r>
    </w:p>
    <w:p>
      <w:pPr>
        <w:numPr>
          <w:ilvl w:val="0"/>
          <w:numId w:val="1003"/>
        </w:numPr>
        <w:pStyle w:val="Compact"/>
      </w:pPr>
      <w:r>
        <w:rPr>
          <w:bCs/>
          <w:b/>
        </w:rPr>
        <w:t xml:space="preserve">Academic:</w:t>
      </w:r>
      <w:r>
        <w:t xml:space="preserve"> </w:t>
      </w:r>
      <w:r>
        <w:t xml:space="preserve">The first comprehensive framework linking banking role evolution to Seoul-specific socio-technological factors, filling a critical gap in Asian financial studies. It will challenge Western-centric models of banker transformation.</w:t>
      </w:r>
    </w:p>
    <w:p>
      <w:pPr>
        <w:numPr>
          <w:ilvl w:val="0"/>
          <w:numId w:val="1003"/>
        </w:numPr>
        <w:pStyle w:val="Compact"/>
      </w:pPr>
      <w:r>
        <w:rPr>
          <w:bCs/>
          <w:b/>
        </w:rPr>
        <w:t xml:space="preserve">Industry:</w:t>
      </w:r>
      <w:r>
        <w:t xml:space="preserve"> </w:t>
      </w:r>
      <w:r>
        <w:t xml:space="preserve">A validated training module addressing the "Seoul Banker" competency gap, directly usable by institutions like Shinhan or Woori Bank. The ethical AI integration model will provide Seoul-based banks with a blueprint to balance efficiency and trust in a market where 89% of consumers prioritize human interaction (Korean Consumer Agency, 2023).</w:t>
      </w:r>
    </w:p>
    <w:p>
      <w:pPr>
        <w:numPr>
          <w:ilvl w:val="0"/>
          <w:numId w:val="1003"/>
        </w:numPr>
        <w:pStyle w:val="Compact"/>
      </w:pPr>
      <w:r>
        <w:rPr>
          <w:bCs/>
          <w:b/>
        </w:rPr>
        <w:t xml:space="preserve">Policy:</w:t>
      </w:r>
      <w:r>
        <w:t xml:space="preserve"> </w:t>
      </w:r>
      <w:r>
        <w:t xml:space="preserve">Recommendations for the Financial Services Commission on regulatory sandboxes that support banker upskilling, informed by Seoul's unique cultural context. This could position South Korea Seoul as a global benchmark for human-centered digital banking.</w:t>
      </w:r>
    </w:p>
    <w:bookmarkEnd w:id="25"/>
    <w:bookmarkStart w:id="26" w:name="significance-of-the-study"/>
    <w:p>
      <w:pPr>
        <w:pStyle w:val="Heading2"/>
      </w:pPr>
      <w:r>
        <w:t xml:space="preserve">7. Significance of the Study</w:t>
      </w:r>
    </w:p>
    <w:p>
      <w:pPr>
        <w:pStyle w:val="FirstParagraph"/>
      </w:pPr>
      <w:r>
        <w:t xml:space="preserve">The implications extend beyond academia: As South Korea pursues its "Digital New Deal" initiative, the adaptability of its bankers directly impacts financial inclusion, economic resilience, and Seoul's global competitiveness. A 2024 McKinsey report projects that banks in Seoul failing to modernize their banker workforce could miss $18 billion in annual revenue by 2030. Conversely, this</w:t>
      </w:r>
      <w:r>
        <w:t xml:space="preserve"> </w:t>
      </w:r>
      <w:r>
        <w:rPr>
          <w:bCs/>
          <w:b/>
        </w:rPr>
        <w:t xml:space="preserve">Thesis Proposal</w:t>
      </w:r>
      <w:r>
        <w:t xml:space="preserve"> </w:t>
      </w:r>
      <w:r>
        <w:t xml:space="preserve">offers a roadmap for navigating the next phase of South Korea Seoul's financial evolution—where technology enhances, rather than replaces, the human essence of banking. In an era where digital wallets dominate transactions but relationship trust remains paramount (especially in chaebol financing), this research underscores that the most advanced</w:t>
      </w:r>
      <w:r>
        <w:t xml:space="preserve"> </w:t>
      </w:r>
      <w:r>
        <w:rPr>
          <w:bCs/>
          <w:b/>
        </w:rPr>
        <w:t xml:space="preserve">Banker</w:t>
      </w:r>
      <w:r>
        <w:t xml:space="preserve"> </w:t>
      </w:r>
      <w:r>
        <w:t xml:space="preserve">is not defined by their tools, but by their ability to harmonize Seoul's ancient business ethos with tomorrow’s technology.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1–2</w:t>
            </w:r>
          </w:p>
        </w:tc>
        <w:tc>
          <w:tcPr/>
          <w:p>
            <w:pPr>
              <w:pStyle w:val="Compact"/>
              <w:jc w:val="left"/>
            </w:pPr>
            <w:r>
              <w:t xml:space="preserve">Finalized Research Protocol</w:t>
            </w:r>
          </w:p>
        </w:tc>
      </w:tr>
      <w:tr>
        <w:tc>
          <w:tcPr/>
          <w:p>
            <w:pPr>
              <w:pStyle w:val="Compact"/>
              <w:jc w:val="left"/>
            </w:pPr>
            <w:r>
              <w:t xml:space="preserve">Data Collection (Phases 1 &amp; 2)</w:t>
            </w:r>
          </w:p>
        </w:tc>
        <w:tc>
          <w:tcPr/>
          <w:p>
            <w:pPr>
              <w:pStyle w:val="Compact"/>
              <w:jc w:val="left"/>
            </w:pPr>
            <w:r>
              <w:t xml:space="preserve">3–6</w:t>
            </w:r>
          </w:p>
        </w:tc>
        <w:tc>
          <w:tcPr/>
          <w:p>
            <w:pPr>
              <w:pStyle w:val="Compact"/>
              <w:jc w:val="left"/>
            </w:pPr>
            <w:r>
              <w:t xml:space="preserve">Interview Transcripts, Survey Dataset</w:t>
            </w:r>
          </w:p>
        </w:tc>
      </w:tr>
      <w:tr>
        <w:tc>
          <w:tcPr/>
          <w:p>
            <w:pPr>
              <w:pStyle w:val="Compact"/>
              <w:jc w:val="left"/>
            </w:pPr>
            <w:r>
              <w:t xml:space="preserve">Data Analysis &amp; Drafting</w:t>
            </w:r>
          </w:p>
        </w:tc>
        <w:tc>
          <w:tcPr/>
          <w:p>
            <w:pPr>
              <w:pStyle w:val="Compact"/>
              <w:jc w:val="left"/>
            </w:pPr>
            <w:r>
              <w:t xml:space="preserve">7–9</w:t>
            </w:r>
          </w:p>
        </w:tc>
        <w:tc>
          <w:tcPr/>
          <w:p>
            <w:pPr>
              <w:pStyle w:val="Compact"/>
              <w:jc w:val="left"/>
            </w:pPr>
            <w:r>
              <w:t xml:space="preserve">Rough Draft of Thesis Chapters 1–4</w:t>
            </w:r>
          </w:p>
        </w:tc>
      </w:tr>
      <w:tr>
        <w:tc>
          <w:tcPr/>
          <w:p>
            <w:pPr>
              <w:pStyle w:val="Compact"/>
              <w:jc w:val="left"/>
            </w:pPr>
            <w:r>
              <w:t xml:space="preserve">Case Study Deep Dive &amp; Validation</w:t>
            </w:r>
          </w:p>
        </w:tc>
        <w:tc>
          <w:tcPr/>
          <w:p>
            <w:pPr>
              <w:pStyle w:val="Compact"/>
              <w:jc w:val="left"/>
            </w:pPr>
            <w:r>
              <w:t xml:space="preserve">10–11</w:t>
            </w:r>
          </w:p>
        </w:tc>
        <w:tc>
          <w:tcPr/>
          <w:p>
            <w:pPr>
              <w:pStyle w:val="Compact"/>
              <w:jc w:val="left"/>
            </w:pPr>
            <w:r>
              <w:t xml:space="preserve">Finalized Framework &amp; Policy Briefs</w:t>
            </w:r>
          </w:p>
        </w:tc>
      </w:tr>
      <w:tr>
        <w:tc>
          <w:tcPr/>
          <w:p>
            <w:pPr>
              <w:pStyle w:val="Compact"/>
              <w:jc w:val="left"/>
            </w:pPr>
            <w:r>
              <w:t xml:space="preserve">Thesis Finalization &amp; Submission</w:t>
            </w:r>
          </w:p>
        </w:tc>
        <w:tc>
          <w:tcPr/>
          <w:p>
            <w:pPr>
              <w:pStyle w:val="Compact"/>
              <w:jc w:val="left"/>
            </w:pPr>
            <w:r>
              <w:t xml:space="preserve">12</w:t>
            </w:r>
          </w:p>
        </w:tc>
        <w:tc>
          <w:tcPr/>
          <w:p>
            <w:pPr>
              <w:pStyle w:val="Compact"/>
              <w:jc w:val="left"/>
            </w:pPr>
            <w:r>
              <w:t xml:space="preserve">Fully Polished Thesis Document</w:t>
            </w:r>
          </w:p>
        </w:tc>
      </w:tr>
    </w:tbl>
    <w:bookmarkEnd w:id="27"/>
    <w:bookmarkStart w:id="28" w:name="conclusion"/>
    <w:p>
      <w:pPr>
        <w:pStyle w:val="Heading2"/>
      </w:pPr>
      <w:r>
        <w:t xml:space="preserve">9. Conclusion</w:t>
      </w:r>
    </w:p>
    <w:p>
      <w:pPr>
        <w:pStyle w:val="FirstParagraph"/>
      </w:pPr>
      <w:r>
        <w:t xml:space="preserve">This Thesis Proposal establishes that the role of the banker in South Korea Seoul is undergoing a paradigm shift, demanding nuanced research beyond generic digital banking models. By centering Seoul's unique economic, cultural, and technological ecosystem—where Samsung’s AI investments coexist with Confucian client relationships—we offer an unprecedented lens into the future of banking. The findings will empower South Korea's financial institutions to cultivate bankers who are not merely tech-savvy, but culturally astute architects of trust in one of the world's most sophisticated financial markets. This work transcends a mere academic exercise; it is a strategic intervention for South Korea Seoul’s economic future, ensuring that as technology advances, the human core of banking remains irreplaceable yet optimally enhanced.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Banker in South Korea Seoul's Evolving Financial Ecosystem</dc:title>
  <dc:creator/>
  <dc:language>en</dc:language>
  <cp:keywords/>
  <dcterms:created xsi:type="dcterms:W3CDTF">2026-07-23T15:21:50Z</dcterms:created>
  <dcterms:modified xsi:type="dcterms:W3CDTF">2026-07-23T15:21:50Z</dcterms:modified>
</cp:coreProperties>
</file>

<file path=docProps/custom.xml><?xml version="1.0" encoding="utf-8"?>
<Properties xmlns="http://schemas.openxmlformats.org/officeDocument/2006/custom-properties" xmlns:vt="http://schemas.openxmlformats.org/officeDocument/2006/docPropsVTypes"/>
</file>