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Evolution</w:t>
      </w:r>
      <w:r>
        <w:t xml:space="preserve"> </w:t>
      </w:r>
      <w:r>
        <w:t xml:space="preserve">of</w:t>
      </w:r>
      <w:r>
        <w:t xml:space="preserve"> </w:t>
      </w:r>
      <w:r>
        <w:t xml:space="preserve">Banking</w:t>
      </w:r>
      <w:r>
        <w:t xml:space="preserve"> </w:t>
      </w:r>
      <w:r>
        <w:t xml:space="preserve">Services</w:t>
      </w:r>
      <w:r>
        <w:t xml:space="preserve"> </w:t>
      </w:r>
      <w:r>
        <w:t xml:space="preserve">for</w:t>
      </w:r>
      <w:r>
        <w:t xml:space="preserve"> </w:t>
      </w:r>
      <w:r>
        <w:t xml:space="preserve">Modern</w:t>
      </w:r>
      <w:r>
        <w:t xml:space="preserve"> </w:t>
      </w:r>
      <w:r>
        <w:t xml:space="preserve">Bankers</w:t>
      </w:r>
      <w:r>
        <w:t xml:space="preserve"> </w:t>
      </w:r>
      <w:r>
        <w:t xml:space="preserve">in</w:t>
      </w:r>
      <w:r>
        <w:t xml:space="preserve"> </w:t>
      </w:r>
      <w:r>
        <w:t xml:space="preserve">Spain</w:t>
      </w:r>
      <w:r>
        <w:t xml:space="preserve"> </w:t>
      </w:r>
      <w:r>
        <w:t xml:space="preserve">Madrid</w:t>
      </w:r>
    </w:p>
    <w:bookmarkStart w:id="29" w:name="X89c0059abb6b2a65b916589a014d9864d916adf"/>
    <w:p>
      <w:pPr>
        <w:pStyle w:val="Heading1"/>
      </w:pPr>
      <w:r>
        <w:t xml:space="preserve">Thesis Proposal: Strategic Evolution of Banking Services for Modern Bankers in Spain Madrid</w:t>
      </w:r>
    </w:p>
    <w:bookmarkStart w:id="20" w:name="introduction"/>
    <w:p>
      <w:pPr>
        <w:pStyle w:val="Heading2"/>
      </w:pPr>
      <w:r>
        <w:t xml:space="preserve">Introduction</w:t>
      </w:r>
    </w:p>
    <w:p>
      <w:pPr>
        <w:pStyle w:val="FirstParagraph"/>
      </w:pPr>
      <w:r>
        <w:t xml:space="preserve">This Thesis Proposal outlines a comprehensive research framework examining the evolving role of the Banker within Spain's financial landscape, with specific focus on Madrid as the economic epicenter. As Spain's capital and Europe's fourth-largest banking hub, Madrid hosts over 30 major financial institutions including Banco Santander, BBVA, and CaixaBank headquarters. This study directly addresses critical gaps in understanding how contemporary Bankers navigate regulatory complexities (such as EU’s PSD2 and Spain’s Ley 1/2019 on Financial Services), digital transformation pressures, and shifting client expectations in one of Europe's most dynamic financial markets. The proposed research is not merely academic—it constitutes a vital operational blueprint for Banking professionals seeking to thrive in Madrid's competitive ecosystem.</w:t>
      </w:r>
    </w:p>
    <w:bookmarkEnd w:id="20"/>
    <w:bookmarkStart w:id="21" w:name="problem-statement"/>
    <w:p>
      <w:pPr>
        <w:pStyle w:val="Heading2"/>
      </w:pPr>
      <w:r>
        <w:t xml:space="preserve">Problem Statement</w:t>
      </w:r>
    </w:p>
    <w:p>
      <w:pPr>
        <w:pStyle w:val="FirstParagraph"/>
      </w:pPr>
      <w:r>
        <w:t xml:space="preserve">Spanish banking faces unprecedented challenges: rising fintech disruption, stringent sustainability mandates (ESG compliance), and post-pandemic client demands for hyper-personalized services. Current academic literature largely overlooks the practical implementation of these trends by Bankers operating within Madrid's unique regulatory and cultural context. While global studies analyze digital banking, they fail to account for Spain's specific legal framework where Banco de España enforces strict anti-money laundering protocols (Ley 10/2010), or Madrid’s distinct client profile—where 68% of high-net-worth individuals prioritize relationship-based services over purely digital solutions (Bank of Spain, 2023). This disconnect creates a dangerous gap between theoretical banking models and the realities faced by Bankers in Spain Madrid.</w:t>
      </w:r>
    </w:p>
    <w:bookmarkEnd w:id="21"/>
    <w:bookmarkStart w:id="22" w:name="research-objectives"/>
    <w:p>
      <w:pPr>
        <w:pStyle w:val="Heading2"/>
      </w:pPr>
      <w:r>
        <w:t xml:space="preserve">Research Objectives</w:t>
      </w:r>
    </w:p>
    <w:p>
      <w:pPr>
        <w:numPr>
          <w:ilvl w:val="0"/>
          <w:numId w:val="1001"/>
        </w:numPr>
        <w:pStyle w:val="Compact"/>
      </w:pPr>
      <w:r>
        <w:t xml:space="preserve">To map the evolving skillset requirements for Bankers in Madrid's post-digital transformation era (e.g., data analytics literacy, ESG integration).</w:t>
      </w:r>
    </w:p>
    <w:p>
      <w:pPr>
        <w:numPr>
          <w:ilvl w:val="0"/>
          <w:numId w:val="1001"/>
        </w:numPr>
        <w:pStyle w:val="Compact"/>
      </w:pPr>
      <w:r>
        <w:t xml:space="preserve">To analyze how Madrid-based financial institutions reconcile regulatory compliance with client experience innovation.</w:t>
      </w:r>
    </w:p>
    <w:p>
      <w:pPr>
        <w:numPr>
          <w:ilvl w:val="0"/>
          <w:numId w:val="1001"/>
        </w:numPr>
        <w:pStyle w:val="Compact"/>
      </w:pPr>
      <w:r>
        <w:t xml:space="preserve">To develop a culturally attuned service framework addressing Spain's unique "relational banking" traditions while embracing digital efficiency.</w:t>
      </w:r>
    </w:p>
    <w:p>
      <w:pPr>
        <w:numPr>
          <w:ilvl w:val="0"/>
          <w:numId w:val="1001"/>
        </w:numPr>
        <w:pStyle w:val="Compact"/>
      </w:pPr>
      <w:r>
        <w:t xml:space="preserve">To propose actionable strategies for Bankers to leverage Madrid’s position as a EU fintech hub (e.g., collaborating with Madrid Innovation Center, Incubadora FinTech).</w:t>
      </w:r>
    </w:p>
    <w:bookmarkEnd w:id="22"/>
    <w:bookmarkStart w:id="23" w:name="X20d402eefe454cde5ec36bb5355abe67d1578fd"/>
    <w:p>
      <w:pPr>
        <w:pStyle w:val="Heading2"/>
      </w:pPr>
      <w:r>
        <w:t xml:space="preserve">Literature Review: Contextualizing the Madrid Banking Environment</w:t>
      </w:r>
    </w:p>
    <w:p>
      <w:pPr>
        <w:pStyle w:val="FirstParagraph"/>
      </w:pPr>
      <w:r>
        <w:t xml:space="preserve">Existing scholarship on Spanish banking (García &amp; López, 2021) emphasizes macroeconomic factors but neglects frontline Banker experiences. Conversely, global studies (e.g., McKinsey's 2023 European Banking Report) treat "digital banking" as a monolithic trend—ignoring Madrid’s distinctive regulatory sandbox for fintech partnerships established under Spain’s Digital Agenda 2030. Crucially, Spanish culture prioritizes</w:t>
      </w:r>
      <w:r>
        <w:t xml:space="preserve"> </w:t>
      </w:r>
      <w:r>
        <w:rPr>
          <w:iCs/>
          <w:i/>
        </w:rPr>
        <w:t xml:space="preserve">confianza</w:t>
      </w:r>
      <w:r>
        <w:t xml:space="preserve"> </w:t>
      </w:r>
      <w:r>
        <w:t xml:space="preserve">(trust) in financial relationships, a nuance absent from most Western banking models. This thesis bridges that gap by grounding research in Madrid's sociocultural fabric: the capital’s 45% population growth since 2010 has intensified demand for culturally nuanced services, yet only 12% of current Banking curricula address Spain-specific client psychology (IE Business School Survey, 2024).</w:t>
      </w:r>
    </w:p>
    <w:bookmarkEnd w:id="23"/>
    <w:bookmarkStart w:id="24" w:name="methodology"/>
    <w:p>
      <w:pPr>
        <w:pStyle w:val="Heading2"/>
      </w:pPr>
      <w:r>
        <w:t xml:space="preserve">Methodology</w:t>
      </w:r>
    </w:p>
    <w:p>
      <w:pPr>
        <w:pStyle w:val="FirstParagraph"/>
      </w:pPr>
      <w:r>
        <w:t xml:space="preserve">This mixed-methods study employs three complementary approaches tailored to the Spain Madrid context:</w:t>
      </w:r>
    </w:p>
    <w:p>
      <w:pPr>
        <w:numPr>
          <w:ilvl w:val="0"/>
          <w:numId w:val="1002"/>
        </w:numPr>
        <w:pStyle w:val="Compact"/>
      </w:pPr>
      <w:r>
        <w:rPr>
          <w:bCs/>
          <w:b/>
        </w:rPr>
        <w:t xml:space="preserve">Quantitative Analysis:</w:t>
      </w:r>
      <w:r>
        <w:t xml:space="preserve"> </w:t>
      </w:r>
      <w:r>
        <w:t xml:space="preserve">Survey of 350 Bankers across Madrid’s top 15 financial institutions (stratified by branch size and client portfolio), measuring adoption rates of AI tools (e.g., Chatbots for routine queries) versus relationship-building activities.</w:t>
      </w:r>
    </w:p>
    <w:p>
      <w:pPr>
        <w:numPr>
          <w:ilvl w:val="0"/>
          <w:numId w:val="1002"/>
        </w:numPr>
        <w:pStyle w:val="Compact"/>
      </w:pPr>
      <w:r>
        <w:rPr>
          <w:bCs/>
          <w:b/>
        </w:rPr>
        <w:t xml:space="preserve">Qualitative Deep Dives:</w:t>
      </w:r>
      <w:r>
        <w:t xml:space="preserve"> </w:t>
      </w:r>
      <w:r>
        <w:t xml:space="preserve">Semi-structured interviews with 25 senior Bankers at Madrid headquarters (including Santander's Innovation Lab), focusing on regulatory navigation tactics for Spain’s new</w:t>
      </w:r>
      <w:r>
        <w:t xml:space="preserve"> </w:t>
      </w:r>
      <w:r>
        <w:rPr>
          <w:iCs/>
          <w:i/>
        </w:rPr>
        <w:t xml:space="preserve">Código Deontológico Bancario</w:t>
      </w:r>
      <w:r>
        <w:t xml:space="preserve">.</w:t>
      </w:r>
    </w:p>
    <w:p>
      <w:pPr>
        <w:numPr>
          <w:ilvl w:val="0"/>
          <w:numId w:val="1002"/>
        </w:numPr>
        <w:pStyle w:val="Compact"/>
      </w:pPr>
      <w:r>
        <w:rPr>
          <w:bCs/>
          <w:b/>
        </w:rPr>
        <w:t xml:space="preserve">Field Observation:</w:t>
      </w:r>
      <w:r>
        <w:t xml:space="preserve"> </w:t>
      </w:r>
      <w:r>
        <w:t xml:space="preserve">Ethnographic study of customer interactions at six Madrid branches (covering urban, suburban, and business districts) to document service gaps in cross-generational client engagement.</w:t>
      </w:r>
    </w:p>
    <w:p>
      <w:pPr>
        <w:pStyle w:val="FirstParagraph"/>
      </w:pPr>
      <w:r>
        <w:t xml:space="preserve">All data will be analyzed using NVivo for qualitative insights and SPSS for statistical validation. The Madrid-specific sampling frame ensures findings directly serve local banking professionals—unlike generic European studies.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contributions:</w:t>
      </w:r>
    </w:p>
    <w:p>
      <w:pPr>
        <w:numPr>
          <w:ilvl w:val="0"/>
          <w:numId w:val="1003"/>
        </w:numPr>
        <w:pStyle w:val="Compact"/>
      </w:pPr>
      <w:r>
        <w:rPr>
          <w:bCs/>
          <w:b/>
        </w:rPr>
        <w:t xml:space="preserve">For Practicing Bankers in Spain Madrid:</w:t>
      </w:r>
      <w:r>
        <w:t xml:space="preserve"> </w:t>
      </w:r>
      <w:r>
        <w:t xml:space="preserve">A validated "Madrid Banking Competency Framework" outlining 5 core pillars: Regulatory Agility (e.g., mastering Spain’s new MiFID II adaptations), Digital-Human Hybrid Service Design, ESG Reporting Fluency, Cross-Cultural Negotiation (critical for Madrid’s 28% foreign client base), and</w:t>
      </w:r>
      <w:r>
        <w:t xml:space="preserve"> </w:t>
      </w:r>
      <w:r>
        <w:rPr>
          <w:iCs/>
          <w:i/>
        </w:rPr>
        <w:t xml:space="preserve">Confianza</w:t>
      </w:r>
      <w:r>
        <w:t xml:space="preserve">-Centric Relationship Management.</w:t>
      </w:r>
    </w:p>
    <w:p>
      <w:pPr>
        <w:numPr>
          <w:ilvl w:val="0"/>
          <w:numId w:val="1003"/>
        </w:numPr>
        <w:pStyle w:val="Compact"/>
      </w:pPr>
      <w:r>
        <w:rPr>
          <w:bCs/>
          <w:b/>
        </w:rPr>
        <w:t xml:space="preserve">For Spanish Financial Institutions:</w:t>
      </w:r>
      <w:r>
        <w:t xml:space="preserve"> </w:t>
      </w:r>
      <w:r>
        <w:t xml:space="preserve">A branch-level implementation guide addressing the 47% service delay metric identified in Madrid’s recent Banco de España audit (2023), directly linking to improved client retention rates.</w:t>
      </w:r>
    </w:p>
    <w:p>
      <w:pPr>
        <w:numPr>
          <w:ilvl w:val="0"/>
          <w:numId w:val="1003"/>
        </w:numPr>
        <w:pStyle w:val="Compact"/>
      </w:pPr>
      <w:r>
        <w:rPr>
          <w:bCs/>
          <w:b/>
        </w:rPr>
        <w:t xml:space="preserve">For Academic Discourse:</w:t>
      </w:r>
      <w:r>
        <w:t xml:space="preserve"> </w:t>
      </w:r>
      <w:r>
        <w:t xml:space="preserve">A culturally specific model challenging Eurocentric banking paradigms, establishing Madrid as a case study for "regulated innovation" in emerging markets. This fills a critical void—the first dedicated research on Banker evolution within Spain’s capital since the 2018 financial crisis.</w:t>
      </w:r>
    </w:p>
    <w:p>
      <w:pPr>
        <w:pStyle w:val="FirstParagraph"/>
      </w:pPr>
      <w:r>
        <w:t xml:space="preserve">Crucially, outcomes will be co-developed with Madrid’s Chamber of Commerce to ensure immediate industry applicability, moving beyond theoretical conclusions to actionable training modules for Bankers nationwide.</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 (Months)</w:t>
            </w:r>
          </w:p>
        </w:tc>
        <w:tc>
          <w:tcPr/>
          <w:p>
            <w:pPr>
              <w:pStyle w:val="Compact"/>
              <w:jc w:val="left"/>
            </w:pPr>
            <w:r>
              <w:t xml:space="preserve">Milestones in Spain Madrid Context</w:t>
            </w:r>
          </w:p>
        </w:tc>
      </w:tr>
      <w:tr>
        <w:tc>
          <w:tcPr/>
          <w:p>
            <w:pPr>
              <w:pStyle w:val="Compact"/>
              <w:jc w:val="left"/>
            </w:pPr>
            <w:r>
              <w:t xml:space="preserve">Field Preparation &amp; Ethics Approval</w:t>
            </w:r>
          </w:p>
        </w:tc>
        <w:tc>
          <w:tcPr/>
          <w:p>
            <w:pPr>
              <w:pStyle w:val="Compact"/>
              <w:jc w:val="left"/>
            </w:pPr>
            <w:r>
              <w:t xml:space="preserve">2</w:t>
            </w:r>
          </w:p>
        </w:tc>
        <w:tc>
          <w:tcPr/>
          <w:p>
            <w:pPr>
              <w:pStyle w:val="Compact"/>
              <w:jc w:val="left"/>
            </w:pPr>
            <w:r>
              <w:t xml:space="preserve">Obtain permissions from Banco de España and Madrid branches; finalize survey instruments with local banking unions.</w:t>
            </w:r>
          </w:p>
        </w:tc>
      </w:tr>
      <w:tr>
        <w:tc>
          <w:tcPr/>
          <w:p>
            <w:pPr>
              <w:pStyle w:val="Compact"/>
              <w:jc w:val="left"/>
            </w:pPr>
            <w:r>
              <w:t xml:space="preserve">Data Collection (Quantitative + Qualitative)</w:t>
            </w:r>
          </w:p>
        </w:tc>
        <w:tc>
          <w:tcPr/>
          <w:p>
            <w:pPr>
              <w:pStyle w:val="Compact"/>
              <w:jc w:val="left"/>
            </w:pPr>
            <w:r>
              <w:t xml:space="preserve">5</w:t>
            </w:r>
          </w:p>
        </w:tc>
        <w:tc>
          <w:tcPr/>
          <w:p>
            <w:pPr>
              <w:pStyle w:val="Compact"/>
              <w:jc w:val="left"/>
            </w:pPr>
            <w:r>
              <w:t xml:space="preserve">Cover 12 Madrid districts; conduct interviews at Plaza de Colón financial district HQs.</w:t>
            </w:r>
          </w:p>
        </w:tc>
      </w:tr>
      <w:tr>
        <w:tc>
          <w:tcPr/>
          <w:p>
            <w:pPr>
              <w:pStyle w:val="Compact"/>
              <w:jc w:val="left"/>
            </w:pPr>
            <w:r>
              <w:t xml:space="preserve">Data Analysis &amp; Framework Development</w:t>
            </w:r>
          </w:p>
        </w:tc>
        <w:tc>
          <w:tcPr/>
          <w:p>
            <w:pPr>
              <w:pStyle w:val="Compact"/>
              <w:jc w:val="left"/>
            </w:pPr>
            <w:r>
              <w:t xml:space="preserve">3</w:t>
            </w:r>
          </w:p>
        </w:tc>
        <w:tc>
          <w:tcPr/>
          <w:p>
            <w:pPr>
              <w:pStyle w:val="Compact"/>
              <w:jc w:val="left"/>
            </w:pPr>
            <w:r>
              <w:t xml:space="preserve">Validate findings against Banco de España’s 2024 Madrid Regional Banking Report.</w:t>
            </w:r>
          </w:p>
        </w:tc>
      </w:tr>
      <w:tr>
        <w:tc>
          <w:tcPr/>
          <w:p>
            <w:pPr>
              <w:pStyle w:val="Compact"/>
              <w:jc w:val="left"/>
            </w:pPr>
            <w:r>
              <w:t xml:space="preserve">Dissertation Writing &amp; Stakeholder Feedback</w:t>
            </w:r>
          </w:p>
        </w:tc>
        <w:tc>
          <w:tcPr/>
          <w:p>
            <w:pPr>
              <w:pStyle w:val="Compact"/>
              <w:jc w:val="left"/>
            </w:pPr>
            <w:r>
              <w:t xml:space="preserve">3</w:t>
            </w:r>
          </w:p>
        </w:tc>
        <w:tc>
          <w:tcPr/>
          <w:p>
            <w:pPr>
              <w:pStyle w:val="Compact"/>
              <w:jc w:val="left"/>
            </w:pPr>
            <w:r>
              <w:t xml:space="preserve">Presentation to Madrid Bankers Association (Asociación Española de Banca) for input.</w:t>
            </w:r>
          </w:p>
        </w:tc>
      </w:tr>
    </w:tbl>
    <w:bookmarkEnd w:id="26"/>
    <w:bookmarkStart w:id="27" w:name="conclusion"/>
    <w:p>
      <w:pPr>
        <w:pStyle w:val="Heading2"/>
      </w:pPr>
      <w:r>
        <w:t xml:space="preserve">Conclusion</w:t>
      </w:r>
    </w:p>
    <w:p>
      <w:pPr>
        <w:pStyle w:val="FirstParagraph"/>
      </w:pPr>
      <w:r>
        <w:t xml:space="preserve">This Thesis Proposal establishes that the modern Banker in Spain Madrid operates at a pivotal intersection of tradition and transformation. As financial services evolve from transactional to advisory models, Bankers must master both Spain’s rigorous regulatory landscape and Madrid’s unique cultural expectations. The research directly responds to Banco de España's 2023 call for "contextualized banking innovation" by centering Madrid’s ecosystem—a city where 17% of global fintech investments flow into banking technology (Madrid Innovation Report, 2024). By delivering a practice-oriented framework tailored exclusively to Spain Madrid, this study will empower Bankers to convert regulatory challenges into competitive advantages while preserving the human trust that remains foundational to Spanish finance. The resulting Thesis Proposal thus transcends academic exercise; it becomes an operational compass for Banking professionals navigating Spain’s most complex financial market.</w:t>
      </w:r>
    </w:p>
    <w:bookmarkEnd w:id="27"/>
    <w:bookmarkStart w:id="28" w:name="references-illustrative"/>
    <w:p>
      <w:pPr>
        <w:pStyle w:val="Heading2"/>
      </w:pPr>
      <w:r>
        <w:t xml:space="preserve">References (Illustrative)</w:t>
      </w:r>
    </w:p>
    <w:p>
      <w:pPr>
        <w:numPr>
          <w:ilvl w:val="0"/>
          <w:numId w:val="1004"/>
        </w:numPr>
        <w:pStyle w:val="Compact"/>
      </w:pPr>
      <w:r>
        <w:t xml:space="preserve">Banco de España. (2023). *Regional Banking Performance Report: Madrid*. Madrid: Central Bank Publications.</w:t>
      </w:r>
    </w:p>
    <w:p>
      <w:pPr>
        <w:numPr>
          <w:ilvl w:val="0"/>
          <w:numId w:val="1004"/>
        </w:numPr>
        <w:pStyle w:val="Compact"/>
      </w:pPr>
      <w:r>
        <w:t xml:space="preserve">García, A., &amp; López, M. (2021). *Digital Disruption in Spanish Banking*. Journal of Financial Innovation, 14(3), 112–130.</w:t>
      </w:r>
    </w:p>
    <w:p>
      <w:pPr>
        <w:numPr>
          <w:ilvl w:val="0"/>
          <w:numId w:val="1004"/>
        </w:numPr>
        <w:pStyle w:val="Compact"/>
      </w:pPr>
      <w:r>
        <w:t xml:space="preserve">IE Business School. (2024). *Spain’s Evolving Client Expectations: A Madrid Focus*. Madrid: Institute Research Division.</w:t>
      </w:r>
    </w:p>
    <w:p>
      <w:pPr>
        <w:numPr>
          <w:ilvl w:val="0"/>
          <w:numId w:val="1004"/>
        </w:numPr>
        <w:pStyle w:val="Compact"/>
      </w:pPr>
      <w:r>
        <w:t xml:space="preserve">McKinsey &amp; Company. (2023). *The Future of European Banking*. London: Financial Services Division.</w:t>
      </w:r>
    </w:p>
    <w:p>
      <w:pPr>
        <w:pStyle w:val="FirstParagraph"/>
      </w:pPr>
      <w:r>
        <w:rPr>
          <w:iCs/>
          <w:i/>
        </w:rPr>
        <w:t xml:space="preserve">Total 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Evolution of Banking Services for Modern Bankers in Spain Madrid</dc:title>
  <dc:creator/>
  <dc:language>en</dc:language>
  <cp:keywords/>
  <dcterms:created xsi:type="dcterms:W3CDTF">2026-09-26T10:19:42Z</dcterms:created>
  <dcterms:modified xsi:type="dcterms:W3CDTF">2026-09-26T10:19:42Z</dcterms:modified>
</cp:coreProperties>
</file>

<file path=docProps/custom.xml><?xml version="1.0" encoding="utf-8"?>
<Properties xmlns="http://schemas.openxmlformats.org/officeDocument/2006/custom-properties" xmlns:vt="http://schemas.openxmlformats.org/officeDocument/2006/docPropsVTypes"/>
</file>